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1  The mill standoff</w:t>
      </w:r>
    </w:p>
    <w:p>
      <w:r>
        <w:t>35 to 45 minutes | Map A to F | Read aloud R1</w:t>
      </w:r>
    </w:p>
    <w:p>
      <w:pPr>
        <w:pStyle w:val="Heading2"/>
      </w:pPr>
      <w:r>
        <w:t>Start exactly here</w:t>
      </w:r>
    </w:p>
    <w:p>
      <w:r>
        <w:t>Inside-out spatial order: Brother Kai and Floyd GoldSeeker; barricade; commander; Severed Whisper; FOUR friendly guards; later enemy wagon group; rear Throk and Pat-Benatar with allies. This is not initiative. Kai holds pink crystal. Plate at mill, exact carrier/socket uncertain. No automatic rest or healing.</w:t>
      </w:r>
    </w:p>
    <w:p>
      <w:pPr>
        <w:pStyle w:val="Heading2"/>
      </w:pPr>
      <w:r>
        <w:t>Confirm only what affects play</w:t>
      </w:r>
    </w:p>
    <w:p>
      <w:r>
        <w:t>Severed Whisper took 14 damage and remained standing; ask actual current/max HP. Keep commander wounds: first-wave warriors took 6 and 3 fire, but surviving identity unclear. Confirm later wagon headcount, rear allied total and two messenger pursuers. Do not count the captured diversion raider or bound scouts as enemies here.</w:t>
      </w:r>
    </w:p>
    <w:p>
      <w:pPr>
        <w:pStyle w:val="Heading2"/>
      </w:pPr>
      <w:r>
        <w:t>Balance proposal</w:t>
      </w:r>
    </w:p>
    <w:p>
      <w:r>
        <w:t>Use existing Hired Raider AC 12, max HP 9, speed 30 ft, club +3 for 1d4+1. No new boss powers or waves. If wagon roster remains unset, cap proposed threat at two fighting escorts and four frightened workers, not additional troops. Preserve actual roster if Scott confirms it. Workers shelter, flee or surrender. Keep retreat possible.</w:t>
      </w:r>
    </w:p>
    <w:p>
      <w:pPr>
        <w:pStyle w:val="Heading2"/>
      </w:pPr>
      <w:r>
        <w:t>Run NPCs without Ryan</w:t>
      </w:r>
    </w:p>
    <w:p>
      <w:r>
        <w:t>Scott voices commander and adjudicates. Four forward guards contain escorts as one group; rear allies secure approach/captives when they arrive. One meaningful group exchange per round; use existing guard records if individual attacks matter. PCs choose their own actions. Do not add twelve guard turns or make their arrival erase PC choices.</w:t>
      </w:r>
    </w:p>
    <w:p>
      <w:pPr>
        <w:pStyle w:val="Heading2"/>
      </w:pPr>
      <w:r>
        <w:t>Visible choices</w:t>
      </w:r>
    </w:p>
    <w:p>
      <w:r>
        <w:t>Kai protects crystal or controls choke; Floyd protects crews and manages barricade exit; Severed Whisper can shelter behind friendly line, talk or confront commander; Throk directs hawk/guards; Pat-Benatar chooses interception and surrender terms. Barrier blocks both sides. Existing mill side features are not a newly granted secret exit.</w:t>
      </w:r>
    </w:p>
    <w:p>
      <w:pPr>
        <w:pStyle w:val="Heading2"/>
      </w:pPr>
      <w:r>
        <w:t>End condition</w:t>
      </w:r>
    </w:p>
    <w:p>
      <w:r>
        <w:t>Commander may bargain, surrender or fight. A controlled surrender and safe exit resolve the scene. Do not force a last stand or kill workers to manufacture a climax. Record real damage/captures, then move to aftermath. R2 only after the actual outcome.</w:t>
      </w:r>
    </w:p>
    <w:p>
      <w:r>
        <w:br w:type="page"/>
      </w:r>
    </w:p>
    <w:p>
      <w:pPr>
        <w:pStyle w:val="Title"/>
      </w:pPr>
      <w:r>
        <w:t>2  Secure the mill</w:t>
      </w:r>
    </w:p>
    <w:p>
      <w:r>
        <w:t>25 to 35 minutes | Discovery and custody | R2 if earned</w:t>
      </w:r>
    </w:p>
    <w:p>
      <w:pPr>
        <w:pStyle w:val="Heading2"/>
      </w:pPr>
      <w:r>
        <w:t>What is established</w:t>
      </w:r>
    </w:p>
    <w:p>
      <w:r>
        <w:t>Brother Kai removed a fist-sized pink crystal from four prongs/gold channels. Pulse, short tremor and dust followed; shoring held. Adjacent wall is open. The original arch remains distinct. No complete repair, measured reading or PC power has been demonstrated.</w:t>
      </w:r>
    </w:p>
    <w:p>
      <w:pPr>
        <w:pStyle w:val="Heading2"/>
      </w:pPr>
      <w:r>
        <w:t>Make the site safe</w:t>
      </w:r>
    </w:p>
    <w:p>
      <w:r>
        <w:t>Floyd chooses a crew lead, shoring inspection, exclusion area and tool/storage plan. Sensible work with tools succeeds; roll for actual opposition, haste or uncertain load only. Explain consequences before rolling. No second blind search roll for the object already held.</w:t>
      </w:r>
    </w:p>
    <w:p>
      <w:pPr>
        <w:pStyle w:val="Heading2"/>
      </w:pPr>
      <w:r>
        <w:t>Handle the objects</w:t>
      </w:r>
    </w:p>
    <w:p>
      <w:r>
        <w:t>Ask who holds plate/crystal, how carried and protected, and what is tested. Earlier prepared pressure-witness spindle differs from played pink crystal; consult 07 before identifying function. Do not silently replace the object or spawn another crystal. Party learns only observed test results.</w:t>
      </w:r>
    </w:p>
    <w:p>
      <w:pPr>
        <w:pStyle w:val="Heading2"/>
      </w:pPr>
      <w:r>
        <w:t>People before departures</w:t>
      </w:r>
    </w:p>
    <w:p>
      <w:r>
        <w:t>Confirm wounded PCs/guards/workers, ordinary care, wagon captive escort and the bound lookout scouts. Two guards chased escaped messenger; outcome still open. Invite humane prisoner choices and questions without forcing agreement or a scripted moral dispute. No companion was established; Ryan absence creates no missing party member.</w:t>
      </w:r>
    </w:p>
    <w:p>
      <w:pPr>
        <w:pStyle w:val="Heading2"/>
      </w:pPr>
      <w:r>
        <w:t>One earned clue</w:t>
      </w:r>
    </w:p>
    <w:p>
      <w:r>
        <w:t>A searched actual dispatch or informed captive may identify Frulam Mondath and the Cult of the Dragon using prior H1. This did not happen automatically in Session 18. Ordinary workers know wages/tasks, not dragon theology. If no source obtained, retain lead rather than pretend knowledge.</w:t>
      </w:r>
    </w:p>
    <w:p>
      <w:pPr>
        <w:pStyle w:val="Heading2"/>
      </w:pPr>
      <w:r>
        <w:t>Transition</w:t>
      </w:r>
    </w:p>
    <w:p>
      <w:r>
        <w:t>Offer the sanctuary problem if the PCs investigate channel strain or seek care. Alternatively let them secure town responsibilities and choose an earned northern route. Record who stays to watch damage. No automatic rest, reward or permanent fix.</w:t>
      </w:r>
    </w:p>
    <w:p>
      <w:r>
        <w:br w:type="page"/>
      </w:r>
    </w:p>
    <w:p>
      <w:pPr>
        <w:pStyle w:val="Title"/>
      </w:pPr>
      <w:r>
        <w:t>3  Sanctuary care choice</w:t>
      </w:r>
    </w:p>
    <w:p>
      <w:r>
        <w:t>25 to 35 minutes if visited | R3 and R4</w:t>
      </w:r>
    </w:p>
    <w:p>
      <w:pPr>
        <w:pStyle w:val="Heading2"/>
      </w:pPr>
      <w:r>
        <w:t>Keep this conditional</w:t>
      </w:r>
    </w:p>
    <w:p>
      <w:r>
        <w:t>This scene was prepared but not played in Session 18. Eadyan and Sister Merra remain separate from raiders; Merra sincerely believes in the One God. Doss remains in care unless later facts change it. No offscreen death or sudden cure.</w:t>
      </w:r>
    </w:p>
    <w:p>
      <w:pPr>
        <w:pStyle w:val="Heading2"/>
      </w:pPr>
      <w:r>
        <w:t>Observe with consent</w:t>
      </w:r>
    </w:p>
    <w:p>
      <w:r>
        <w:t>Receiver seated above branch eases pain/labored breathing for three injured conscious civilians within 20 ft; no HP/slots/PC buff. About every ten fictional minutes a pulse coincides with grit at damaged support. Demonstrate correlation with bracing and consent; do not turn it into a forced theological verdict.</w:t>
      </w:r>
    </w:p>
    <w:p>
      <w:pPr>
        <w:pStyle w:val="Heading2"/>
      </w:pPr>
      <w:r>
        <w:t>Care before isolation</w:t>
      </w:r>
    </w:p>
    <w:p>
      <w:r>
        <w:t>Fresh air, water, bandages, helpers and a suitable place allow a brief lift onto an ordinary wooden bench away from channel. Good respectful complete plan needs no persuasion gate. Relief and added pulsing stop together; patients remain stable with care. Broken branch still needs repair.</w:t>
      </w:r>
    </w:p>
    <w:p>
      <w:pPr>
        <w:pStyle w:val="Heading2"/>
      </w:pPr>
      <w:r>
        <w:t>Alternative</w:t>
      </w:r>
    </w:p>
    <w:p>
      <w:r>
        <w:t>Continue monitored use with support, named watchers and review time. Temporary prop buys at least one night; no hidden instant-collapse deadline. Either limited improvement is real if completed. If PCs defer, town keeps ordinary care and problem stays open; departure is not forbidden.</w:t>
      </w:r>
    </w:p>
    <w:p>
      <w:pPr>
        <w:pStyle w:val="Heading2"/>
      </w:pPr>
      <w:r>
        <w:t>What to record</w:t>
      </w:r>
    </w:p>
    <w:p>
      <w:r>
        <w:t>Chosen method, patient care custodian, receiver location, support/watch plan, observed effect and unanswered cause. Do not equate receiver with pink crystal or other stones. Show R4 only for actual successful intervention.</w:t>
      </w:r>
    </w:p>
    <w:p>
      <w:pPr>
        <w:pStyle w:val="Heading2"/>
      </w:pPr>
      <w:r>
        <w:t>Transition</w:t>
      </w:r>
    </w:p>
    <w:p>
      <w:r>
        <w:t>Invite two questions for north: who understands old draconic patterns, and why does a dragon want the recovered pieces? Runara said follow dragons; trust remains a choice. Let party decide if this lead is urgent.</w:t>
      </w:r>
    </w:p>
    <w:p>
      <w:r>
        <w:br w:type="page"/>
      </w:r>
    </w:p>
    <w:p>
      <w:pPr>
        <w:pStyle w:val="Title"/>
      </w:pPr>
      <w:r>
        <w:t>4  North and the dragon</w:t>
      </w:r>
    </w:p>
    <w:p>
      <w:r>
        <w:t>45 to 55 minutes if chosen | R5 and R6 | Close 10 minutes</w:t>
      </w:r>
    </w:p>
    <w:p>
      <w:pPr>
        <w:pStyle w:val="Heading2"/>
      </w:pPr>
      <w:r>
        <w:t>Departure gate</w:t>
      </w:r>
    </w:p>
    <w:p>
      <w:r>
        <w:t>Require earned route evidence, supplies, agreed item carriers, care/guard handoff and any captive arrangements. No persistent Ryan NPC, six-traveler assumption or forced travel companion. Use earlier five-PC art or terrain. No automatic long rest; explicitly resolve rests and resources.</w:t>
      </w:r>
    </w:p>
    <w:p>
      <w:pPr>
        <w:pStyle w:val="Heading2"/>
      </w:pPr>
      <w:r>
        <w:t>Find the rendezvous</w:t>
      </w:r>
    </w:p>
    <w:p>
      <w:r>
        <w:t>Use actual H2/docket, messenger information, Mara at next stop or tracks at chalk fork. Three pale stones lead along foot track to split basalt shelf beyond camp. Directions approximate; object is not a compass. Avoid replaying full camp investigation or adding travel combat to fill time.</w:t>
      </w:r>
    </w:p>
    <w:p>
      <w:pPr>
        <w:pStyle w:val="Heading2"/>
      </w:pPr>
      <w:r>
        <w:t>Scott voices dragon</w:t>
      </w:r>
    </w:p>
    <w:p>
      <w:r>
        <w:t>Initially shadowed; may name Lennithon when asked. This does not identify prior omens. No detection of concealed objects and no compulsory dragon attack on level 2 PCs. He has independent interests; he does not command Frulam. Keep retreat visible.</w:t>
      </w:r>
    </w:p>
    <w:p>
      <w:pPr>
        <w:pStyle w:val="Heading2"/>
      </w:pPr>
      <w:r>
        <w:t>Bounded exchange</w:t>
      </w:r>
    </w:p>
    <w:p>
      <w:r>
        <w:t>Propose supervised inspection with PCs holding objects, copied observations for information, answers before examination, explicit temporary custody, or refusal. Reconcile pink crystal versus older witness DM background before giving a technical explanation. No forced oath or surrender; withholding information or leaving is enough pressure.</w:t>
      </w:r>
    </w:p>
    <w:p>
      <w:pPr>
        <w:pStyle w:val="Heading2"/>
      </w:pPr>
      <w:r>
        <w:t>Release limited answers</w:t>
      </w:r>
    </w:p>
    <w:p>
      <w:r>
        <w:t>Shared old draconic design family does not imply same purpose. Stormwreck activity was felt outward and did not create the mill physical fault. Cult wants possession/northern transfer; dragon interest is independent. No rift solution, patron identity, ancestry answer or confirmation of speculative Concordance/Acererak. One supported answer and a meaningful choice are enough.</w:t>
      </w:r>
    </w:p>
    <w:p>
      <w:pPr>
        <w:pStyle w:val="Heading2"/>
      </w:pPr>
      <w:r>
        <w:t>Close at the actual point</w:t>
      </w:r>
    </w:p>
    <w:p>
      <w:r>
        <w:t>If town work takes time, end with two clear questions and an earned route, not a rushed meeting. Record captures/injuries, item custody, site/care responsibility, rests/consumables, promises and chosen next objective. R6 after real conversation; unused branches remain prep.</w:t>
      </w:r>
    </w:p>
    <w:sectPr w:rsidR="00FC693F" w:rsidRPr="0006063C" w:rsidSect="00034616">
      <w:headerReference w:type="default" r:id="rId9"/>
      <w:footerReference w:type="default" r:id="rId10"/>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Prepared October 20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SESSION 19   •   SCOTT DM PACKET   •   UNPLAYED PREP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libri" w:hAnsi="Calibr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libri" w:hAnsi="Calibr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libri" w:hAnsi="Calibr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libri" w:hAnsi="Calibri"/>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color w:val="000000"/>
    </w:rPr>
  </w:style>
  <w:style w:type="paragraph" w:styleId="BodyText">
    <w:name w:val="Body Text"/>
    <w:basedOn w:val="Normal"/>
    <w:link w:val="BodyTextChar"/>
    <w:uiPriority w:val="99"/>
    <w:unhideWhenUsed/>
    <w:rsid w:val="00AA1D8D"/>
    <w:pPr>
      <w:spacing w:after="120"/>
    </w:pPr>
    <w:rPr>
      <w:rFonts w:ascii="Calibri" w:hAnsi="Calibri"/>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Calibri" w:hAnsi="Calibri"/>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Calibri" w:hAnsi="Calibri"/>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Calibri" w:hAnsi="Calibri"/>
      <w:color w:val="000000"/>
    </w:rPr>
  </w:style>
  <w:style w:type="paragraph" w:styleId="List2">
    <w:name w:val="List 2"/>
    <w:basedOn w:val="Normal"/>
    <w:uiPriority w:val="99"/>
    <w:unhideWhenUsed/>
    <w:rsid w:val="00326F90"/>
    <w:pPr>
      <w:ind w:left="720" w:hanging="360"/>
      <w:contextualSpacing/>
    </w:pPr>
    <w:rPr>
      <w:rFonts w:ascii="Calibri" w:hAnsi="Calibri"/>
      <w:color w:val="000000"/>
    </w:rPr>
  </w:style>
  <w:style w:type="paragraph" w:styleId="List3">
    <w:name w:val="List 3"/>
    <w:basedOn w:val="Normal"/>
    <w:uiPriority w:val="99"/>
    <w:unhideWhenUsed/>
    <w:rsid w:val="00326F90"/>
    <w:pPr>
      <w:ind w:left="1080" w:hanging="360"/>
      <w:contextualSpacing/>
    </w:pPr>
    <w:rPr>
      <w:rFonts w:ascii="Calibri" w:hAnsi="Calibri"/>
      <w:color w:val="000000"/>
    </w:r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rPr>
      <w:rFonts w:ascii="Calibri" w:hAnsi="Calibri"/>
      <w:color w:val="000000"/>
    </w:rPr>
  </w:style>
  <w:style w:type="paragraph" w:styleId="ListBullet3">
    <w:name w:val="List Bullet 3"/>
    <w:basedOn w:val="Normal"/>
    <w:uiPriority w:val="99"/>
    <w:unhideWhenUsed/>
    <w:rsid w:val="00326F90"/>
    <w:pPr>
      <w:numPr>
        <w:numId w:val="3"/>
      </w:numPr>
      <w:contextualSpacing/>
    </w:pPr>
    <w:rPr>
      <w:rFonts w:ascii="Calibri" w:hAnsi="Calibri"/>
      <w:color w:val="000000"/>
    </w:r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rPr>
      <w:rFonts w:ascii="Calibri" w:hAnsi="Calibri"/>
      <w:color w:val="000000"/>
    </w:rPr>
  </w:style>
  <w:style w:type="paragraph" w:styleId="ListNumber3">
    <w:name w:val="List Number 3"/>
    <w:basedOn w:val="Normal"/>
    <w:uiPriority w:val="99"/>
    <w:unhideWhenUsed/>
    <w:rsid w:val="0029639D"/>
    <w:pPr>
      <w:numPr>
        <w:numId w:val="7"/>
      </w:numPr>
      <w:contextualSpacing/>
    </w:pPr>
    <w:rPr>
      <w:rFonts w:ascii="Calibri" w:hAnsi="Calibri"/>
      <w:color w:val="000000"/>
    </w:rPr>
  </w:style>
  <w:style w:type="paragraph" w:styleId="ListContinue">
    <w:name w:val="List Continue"/>
    <w:basedOn w:val="Normal"/>
    <w:uiPriority w:val="99"/>
    <w:unhideWhenUsed/>
    <w:rsid w:val="0029639D"/>
    <w:pPr>
      <w:spacing w:after="120"/>
      <w:ind w:left="360"/>
      <w:contextualSpacing/>
    </w:pPr>
    <w:rPr>
      <w:rFonts w:ascii="Calibri" w:hAnsi="Calibri"/>
      <w:color w:val="000000"/>
    </w:rPr>
  </w:style>
  <w:style w:type="paragraph" w:styleId="ListContinue2">
    <w:name w:val="List Continue 2"/>
    <w:basedOn w:val="Normal"/>
    <w:uiPriority w:val="99"/>
    <w:unhideWhenUsed/>
    <w:rsid w:val="0029639D"/>
    <w:pPr>
      <w:spacing w:after="120"/>
      <w:ind w:left="720"/>
      <w:contextualSpacing/>
    </w:pPr>
    <w:rPr>
      <w:rFonts w:ascii="Calibri" w:hAnsi="Calibri"/>
      <w:color w:val="000000"/>
    </w:rPr>
  </w:style>
  <w:style w:type="paragraph" w:styleId="ListContinue3">
    <w:name w:val="List Continue 3"/>
    <w:basedOn w:val="Normal"/>
    <w:uiPriority w:val="99"/>
    <w:unhideWhenUsed/>
    <w:rsid w:val="0029639D"/>
    <w:pPr>
      <w:spacing w:after="120"/>
      <w:ind w:left="1080"/>
      <w:contextualSpacing/>
    </w:pPr>
    <w:rPr>
      <w:rFonts w:ascii="Calibri" w:hAnsi="Calibri"/>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Calibri" w:hAnsi="Calibri"/>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Calibri" w:hAnsi="Calibri"/>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