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X97215b3429dca25881acffbdf0a07557fe27a2d"/>
    <w:p>
      <w:pPr>
        <w:pStyle w:val="Heading1"/>
      </w:pPr>
      <w:r>
        <w:t xml:space="preserve">Infrastructure Specification Proposal — Demonstration Environment</w:t>
      </w:r>
    </w:p>
    <w:p>
      <w:pPr>
        <w:pStyle w:val="FirstParagraph"/>
      </w:pPr>
      <w:r>
        <w:rPr>
          <w:bCs/>
          <w:b/>
        </w:rPr>
        <w:t xml:space="preserve">Author</w:t>
      </w:r>
      <w:r>
        <w:t xml:space="preserve"> </w:t>
      </w:r>
      <w:r>
        <w:t xml:space="preserve">Soongsil University DB Lab ·</w:t>
      </w:r>
      <w:r>
        <w:t xml:space="preserve"> </w:t>
      </w:r>
      <w:r>
        <w:rPr>
          <w:bCs/>
          <w:b/>
        </w:rPr>
        <w:t xml:space="preserve">Date</w:t>
      </w:r>
      <w:r>
        <w:t xml:space="preserve"> </w:t>
      </w:r>
      <w:r>
        <w:t xml:space="preserve">2026-07-29</w:t>
      </w:r>
      <w:r>
        <w:t xml:space="preserve"> </w:t>
      </w:r>
      <w:r>
        <w:rPr>
          <w:bCs/>
          <w:b/>
        </w:rPr>
        <w:t xml:space="preserve">Requested items</w:t>
      </w:r>
      <w:r>
        <w:t xml:space="preserve"> </w:t>
      </w:r>
      <w:r>
        <w:t xml:space="preserve">① System architecture ② Minimum/recommended specs per component ③ API replaceability</w:t>
      </w:r>
      <w:r>
        <w:t xml:space="preserve"> </w:t>
      </w:r>
      <w:r>
        <w:rPr>
          <w:bCs/>
          <w:b/>
        </w:rPr>
        <w:t xml:space="preserve">Assumption</w:t>
      </w:r>
      <w:r>
        <w:t xml:space="preserve"> </w:t>
      </w:r>
      <w:r>
        <w:t xml:space="preserve">Demonstration scale — 1–5 concurrent users, tens to hundreds of documents/day (bulk batch of 144K estimated separately)</w:t>
      </w:r>
    </w:p>
    <w:p>
      <w:r>
        <w:pict>
          <v:rect style="width:0;height:1.5pt" o:hralign="center" o:hrstd="t" o:hr="t"/>
        </w:pict>
      </w:r>
    </w:p>
    <w:bookmarkStart w:id="20" w:name="summary-3-lines"/>
    <w:p>
      <w:pPr>
        <w:pStyle w:val="Heading2"/>
      </w:pPr>
      <w:r>
        <w:t xml:space="preserve">Summary (3 lines)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current configuration (commercial APIs) runs on 4 vCPU / 16 GB RAM with no GPU.</w:t>
      </w:r>
      <w:r>
        <w:t xml:space="preserve"> </w:t>
      </w:r>
      <w:r>
        <w:t xml:space="preserve">This is backed by live measurements of the server in production (4 vCPU / 31 GB / no GPU; API process uses 1.12 GB). Monthly operating cost ≈</w:t>
      </w:r>
      <w:r>
        <w:t xml:space="preserve"> </w:t>
      </w:r>
      <w:r>
        <w:rPr>
          <w:bCs/>
          <w:b/>
        </w:rPr>
        <w:t xml:space="preserve">₩34,000 (~$24)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Full self-hosting (GPU purchase) does not mean "moving the same system" — it means downgrading the models.</w:t>
      </w:r>
      <w:r>
        <w:t xml:space="preserve"> </w:t>
      </w:r>
      <w:r>
        <w:t xml:space="preserve">The current OCR and extraction models require 4–8 GPUs, which is outside the demonstration budget, and replacing them with smaller models may reduce accuracy (unverified). Initial investment ₩11.7M–18.1M + 4–8 weeks of setup.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Recommendation: hybrid</w:t>
      </w:r>
      <w:r>
        <w:t xml:space="preserve"> </w:t>
      </w:r>
      <w:r>
        <w:t xml:space="preserve">— self-host NER only (no commercial equivalent exists); use APIs for everything else. Re-prioritizing OCR/LLM to</w:t>
      </w:r>
      <w:r>
        <w:t xml:space="preserve"> </w:t>
      </w:r>
      <w:r>
        <w:rPr>
          <w:bCs/>
          <w:b/>
        </w:rPr>
        <w:t xml:space="preserve">domestic vendors</w:t>
      </w:r>
      <w:r>
        <w:t xml:space="preserve"> </w:t>
      </w:r>
      <w:r>
        <w:t xml:space="preserve">removes the cross-border personal-data risk</w:t>
      </w:r>
      <w:r>
        <w:t xml:space="preserve"> </w:t>
      </w:r>
      <w:r>
        <w:rPr>
          <w:bCs/>
          <w:b/>
        </w:rPr>
        <w:t xml:space="preserve">at the same cost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X391e2a5858908342460e16546b75ac54f9b2c51"/>
    <w:p>
      <w:pPr>
        <w:pStyle w:val="Heading1"/>
      </w:pPr>
      <w:r>
        <w:t xml:space="preserve">📋 Summary for Reply (this section alone is sufficient to forward)</w:t>
      </w:r>
    </w:p>
    <w:bookmarkStart w:id="22" w:name="Xaeac8151318e5c8e0731a9fbd6a155b1f27eb15"/>
    <w:p>
      <w:pPr>
        <w:pStyle w:val="Heading2"/>
      </w:pPr>
      <w:r>
        <w:t xml:space="preserve">Specifications and API Replaceability by Component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Replaceable?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① OCR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local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local resources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Yes</w:t>
            </w:r>
            <w:r>
              <w:t xml:space="preserve"> </w:t>
            </w:r>
            <w:r>
              <w:t xml:space="preserve">— Upstage·CLOVA (domestic), Google, Azure, current Qwen3-VL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② Extraction server (LLM)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local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local resources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Yes</w:t>
            </w:r>
            <w:r>
              <w:t xml:space="preserve"> </w:t>
            </w:r>
            <w:r>
              <w:t xml:space="preserve">— current Qwen, Solar Pro (domestic), GPT, Claude, Gemini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③ NER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vCPU / 4 GB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vCPU / 8 GB 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No — self-hosting required</w:t>
            </w:r>
            <w:r>
              <w:t xml:space="preserve"> </w:t>
            </w:r>
            <w:r>
              <w:t xml:space="preserve">(no vendor provides copyright-domain tags)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④ Consolidation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local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local resources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Yes</w:t>
            </w:r>
            <w:r>
              <w:t xml:space="preserve"> </w:t>
            </w:r>
            <w:r>
              <w:t xml:space="preserve">— same model as 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⑤ Image analysis (VLM)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local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local resources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Yes</w:t>
            </w:r>
            <w:r>
              <w:t xml:space="preserve"> </w:t>
            </w:r>
            <w:r>
              <w:t xml:space="preserve">— Gemma 4, Gemini, GPT-4o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⑥ API/Web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vCPU / 8 GB RAM / 40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vCPU / 16 GB RAM / 100 GB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(the service itself)</w:t>
            </w:r>
          </w:p>
        </w:tc>
      </w:tr>
    </w:tbl>
    <w:bookmarkEnd w:id="22"/>
    <w:bookmarkStart w:id="24" w:name="Xf6c07b8f08ecf96d919bde2b051f2052d764578"/>
    <w:p>
      <w:pPr>
        <w:pStyle w:val="Heading2"/>
      </w:pPr>
      <w:r>
        <w:t xml:space="preserve">✅ Final Recommended Spec (③ + ⑥ combined = the one server to prepare)</w:t>
      </w:r>
    </w:p>
    <w:p>
      <w:pPr>
        <w:pStyle w:val="Heading3"/>
      </w:pPr>
      <w:bookmarkStart w:id="23" w:name="X4d711b7ae15775c8825810ca84d72466a7ca14b"/>
      <w:r>
        <w:rPr>
          <w:bCs/>
          <w:b/>
        </w:rPr>
        <w:t xml:space="preserve">4 vCPU / 16 GB RAM / 100 GB SSD / No GPU</w:t>
      </w:r>
      <w:bookmarkEnd w:id="23"/>
    </w:p>
    <w:p>
      <w:pPr>
        <w:pStyle w:val="BlockText"/>
      </w:pPr>
      <w:r>
        <w:rPr>
          <w:bCs/>
          <w:b/>
        </w:rPr>
        <w:t xml:space="preserve">Minimum:</w:t>
      </w:r>
      <w:r>
        <w:t xml:space="preserve"> </w:t>
      </w:r>
      <w:r>
        <w:t xml:space="preserve">2 vCPU / 8 GB RAM / 40 GB / No GPU</w:t>
      </w:r>
      <w:r>
        <w:t xml:space="preserve"> </w:t>
      </w:r>
      <w:r>
        <w:rPr>
          <w:bCs/>
          <w:b/>
        </w:rPr>
        <w:t xml:space="preserve">Monthly cost:</w:t>
      </w:r>
      <w:r>
        <w:t xml:space="preserve"> </w:t>
      </w:r>
      <w:r>
        <w:t xml:space="preserve">≈ ₩34,000 (~$24, usage-based API) ·</w:t>
      </w:r>
      <w:r>
        <w:t xml:space="preserve"> </w:t>
      </w:r>
      <w:r>
        <w:rPr>
          <w:bCs/>
          <w:b/>
        </w:rPr>
        <w:t xml:space="preserve">Initial investment: ₩0</w:t>
      </w:r>
    </w:p>
    <w:p>
      <w:pPr>
        <w:pStyle w:val="FirstParagraph"/>
      </w:pPr>
      <w:r>
        <w:rPr>
          <w:bCs/>
          <w:b/>
        </w:rPr>
        <w:t xml:space="preserve">Evidence (measured):</w:t>
      </w:r>
      <w:r>
        <w:t xml:space="preserve"> </w:t>
      </w:r>
      <w:r>
        <w:t xml:space="preserve">the identical system is currently running in production on a</w:t>
      </w:r>
      <w:r>
        <w:t xml:space="preserve"> </w:t>
      </w:r>
      <w:r>
        <w:rPr>
          <w:bCs/>
          <w:b/>
        </w:rPr>
        <w:t xml:space="preserve">4 vCPU / 31 GB RAM / no-GPU</w:t>
      </w:r>
      <w:r>
        <w:t xml:space="preserve"> </w:t>
      </w:r>
      <w:r>
        <w:t xml:space="preserve">server, with the API process consuming only</w:t>
      </w:r>
      <w:r>
        <w:t xml:space="preserve"> </w:t>
      </w:r>
      <w:r>
        <w:rPr>
          <w:bCs/>
          <w:b/>
        </w:rPr>
        <w:t xml:space="preserve">1.12 GB</w:t>
      </w:r>
      <w:r>
        <w:t xml:space="preserve">. The 31 GB of RAM is in fact more than needed.</w:t>
      </w:r>
    </w:p>
    <w:p>
      <w:r>
        <w:pict>
          <v:rect style="width:0;height:1.5pt" o:hralign="center" o:hrstd="t" o:hr="t"/>
        </w:pict>
      </w:r>
    </w:p>
    <w:bookmarkEnd w:id="24"/>
    <w:bookmarkStart w:id="26" w:name="X34d2f43dfcb557966837f56382f133c01cb9984"/>
    <w:p>
      <w:pPr>
        <w:pStyle w:val="Heading2"/>
      </w:pPr>
      <w:r>
        <w:t xml:space="preserve">🔴 Strong Recommendation: Use commercial LLM APIs — do NOT self-host the models</w:t>
      </w:r>
    </w:p>
    <w:p>
      <w:pPr>
        <w:pStyle w:val="FirstParagraph"/>
      </w:pPr>
      <w:r>
        <w:t xml:space="preserve">Self-hosting LLMs for the demonstration environment is</w:t>
      </w:r>
      <w:r>
        <w:t xml:space="preserve"> </w:t>
      </w:r>
      <w:r>
        <w:rPr>
          <w:bCs/>
          <w:b/>
        </w:rPr>
        <w:t xml:space="preserve">not recommended</w:t>
      </w:r>
      <w:r>
        <w:t xml:space="preserve">, for the following reasons.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The current models physically cannot be self-hosted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OCR model (235B) requires</w:t>
            </w:r>
            <w:r>
              <w:t xml:space="preserve"> </w:t>
            </w:r>
            <w:r>
              <w:rPr>
                <w:bCs/>
                <w:b/>
              </w:rPr>
              <w:t xml:space="preserve">470 GB of VRAM</w:t>
            </w:r>
            <w:r>
              <w:t xml:space="preserve">; the extraction model (122B) requires</w:t>
            </w:r>
            <w:r>
              <w:t xml:space="preserve"> </w:t>
            </w:r>
            <w:r>
              <w:rPr>
                <w:bCs/>
                <w:b/>
              </w:rPr>
              <w:t xml:space="preserve">244 GB</w:t>
            </w:r>
            <w:r>
              <w:t xml:space="preserve">. That means</w:t>
            </w:r>
            <w:r>
              <w:t xml:space="preserve"> </w:t>
            </w:r>
            <w:r>
              <w:rPr>
                <w:bCs/>
                <w:b/>
              </w:rPr>
              <w:t xml:space="preserve">4–8 H100 GPUs (₩200M+ / $150K+)</w:t>
            </w:r>
            <w:r>
              <w:t xml:space="preserve"> </w:t>
            </w:r>
            <w:r>
              <w:t xml:space="preserve">— far outside the demonstration budget.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Even two top-end GPUs (~₩50M) are insufficient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RTX PRO 6000 96 GB cards (</w:t>
            </w:r>
            <w:r>
              <w:rPr>
                <w:bCs/>
                <w:b/>
              </w:rPr>
              <w:t xml:space="preserve">192 GB total</w:t>
            </w:r>
            <w:r>
              <w:t xml:space="preserve">) still cannot host the three current models simultaneously — they need</w:t>
            </w:r>
            <w:r>
              <w:t xml:space="preserve"> </w:t>
            </w:r>
            <w:r>
              <w:rPr>
                <w:bCs/>
                <w:b/>
              </w:rPr>
              <w:t xml:space="preserve">194 GB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Self-hosting guarantees a performance downgrade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 after buying GPUs, the models must be swapped for versions</w:t>
            </w:r>
            <w:r>
              <w:t xml:space="preserve"> </w:t>
            </w:r>
            <w:r>
              <w:rPr>
                <w:bCs/>
                <w:b/>
              </w:rPr>
              <w:t xml:space="preserve">~1/7 the size</w:t>
            </w:r>
            <w:r>
              <w:t xml:space="preserve"> </w:t>
            </w:r>
            <w:r>
              <w:t xml:space="preserve">(235B → 32B). Whether the currently verified</w:t>
            </w:r>
            <w:r>
              <w:t xml:space="preserve"> </w:t>
            </w:r>
            <w:r>
              <w:rPr>
                <w:bCs/>
                <w:b/>
              </w:rPr>
              <w:t xml:space="preserve">98% OCR character accuracy</w:t>
            </w:r>
            <w:r>
              <w:t xml:space="preserve"> </w:t>
            </w:r>
            <w:r>
              <w:t xml:space="preserve">would be preserved is</w:t>
            </w:r>
            <w:r>
              <w:t xml:space="preserve"> </w:t>
            </w:r>
            <w:r>
              <w:rPr>
                <w:bCs/>
                <w:b/>
              </w:rPr>
              <w:t xml:space="preserve">unverified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The investment cannot be recovered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₩18.1M hardware ÷ ₩34,000/month API =</w:t>
            </w:r>
            <w:r>
              <w:t xml:space="preserve"> </w:t>
            </w:r>
            <w:r>
              <w:rPr>
                <w:bCs/>
                <w:b/>
              </w:rPr>
              <w:t xml:space="preserve">break-even ≈ 44 years</w:t>
            </w:r>
            <w:r>
              <w:t xml:space="preserve">. For a 2-GPU configuration it is</w:t>
            </w:r>
            <w:r>
              <w:t xml:space="preserve"> </w:t>
            </w:r>
            <w:r>
              <w:rPr>
                <w:bCs/>
                <w:b/>
              </w:rPr>
              <w:t xml:space="preserve">122 years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Setup time and ancillary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deployment requires</w:t>
            </w:r>
            <w:r>
              <w:t xml:space="preserve"> </w:t>
            </w:r>
            <w:r>
              <w:rPr>
                <w:bCs/>
                <w:b/>
              </w:rPr>
              <w:t xml:space="preserve">4–8 weeks</w:t>
            </w:r>
            <w:r>
              <w:t xml:space="preserve">, plus a public IP (campus networks typically block inbound traffic → separate application), a dedicated power circuit, a UPS, and ongoing administration.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The API approach is already proven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is</w:t>
            </w:r>
            <w:r>
              <w:t xml:space="preserve"> </w:t>
            </w:r>
            <w:r>
              <w:rPr>
                <w:bCs/>
                <w:b/>
              </w:rPr>
              <w:t xml:space="preserve">running in production today</w:t>
            </w:r>
            <w:r>
              <w:t xml:space="preserve">. Self-hosting would require rebuilding and re-validating from scratch.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 Security concerns are also solvable via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cross-border transfer of personal data is a concern, switching to</w:t>
            </w:r>
            <w:r>
              <w:t xml:space="preserve"> </w:t>
            </w:r>
            <w:r>
              <w:rPr>
                <w:bCs/>
                <w:b/>
              </w:rPr>
              <w:t xml:space="preserve">domestic vendors (Upstage, Naver CLOVA)</w:t>
            </w:r>
            <w:r>
              <w:t xml:space="preserve"> </w:t>
            </w:r>
            <w:r>
              <w:t xml:space="preserve">resolves it — at</w:t>
            </w:r>
            <w:r>
              <w:t xml:space="preserve"> </w:t>
            </w:r>
            <w:r>
              <w:rPr>
                <w:bCs/>
                <w:b/>
              </w:rPr>
              <w:t xml:space="preserve">₩32,000/month, which is actually cheaper</w:t>
            </w:r>
            <w:r>
              <w:t xml:space="preserve">. The risk can be removed at no additional cost.</w:t>
            </w:r>
          </w:p>
        </w:tc>
      </w:tr>
    </w:tbl>
    <w:bookmarkStart w:id="25" w:name="conclusion"/>
    <w:p>
      <w:pPr>
        <w:pStyle w:val="Heading3"/>
      </w:pPr>
      <w:r>
        <w:t xml:space="preserve">Conclusion</w:t>
      </w:r>
    </w:p>
    <w:p>
      <w:pPr>
        <w:pStyle w:val="BlockText"/>
      </w:pPr>
      <w:r>
        <w:rPr>
          <w:bCs/>
          <w:b/>
        </w:rPr>
        <w:t xml:space="preserve">Use commercial APIs for LLM, OCR, and VLM; self-host only the NER component.</w:t>
      </w:r>
      <w:r>
        <w:t xml:space="preserve"> </w:t>
      </w:r>
      <w:r>
        <w:t xml:space="preserve">This configuration requires</w:t>
      </w:r>
      <w:r>
        <w:t xml:space="preserve"> </w:t>
      </w:r>
      <w:r>
        <w:rPr>
          <w:bCs/>
          <w:b/>
        </w:rPr>
        <w:t xml:space="preserve">no GPU at all</w:t>
      </w:r>
      <w:r>
        <w:t xml:space="preserve">, costs</w:t>
      </w:r>
      <w:r>
        <w:t xml:space="preserve"> </w:t>
      </w:r>
      <w:r>
        <w:rPr>
          <w:bCs/>
          <w:b/>
        </w:rPr>
        <w:t xml:space="preserve">₩0 upfront and ~₩34,000/month</w:t>
      </w:r>
      <w:r>
        <w:t xml:space="preserve">, and is already validated in live operation.</w:t>
      </w:r>
    </w:p>
    <w:p>
      <w:pPr>
        <w:pStyle w:val="BlockText"/>
      </w:pPr>
      <w:r>
        <w:rPr>
          <w:bCs/>
          <w:b/>
        </w:rPr>
        <w:t xml:space="preserve">Purchasing GPUs should only be considered if the client institution explicitly requires fully air-gapped (network-isolated) processing as a contractual condition.</w:t>
      </w:r>
      <w:r>
        <w:t xml:space="preserve"> </w:t>
      </w:r>
      <w:r>
        <w:t xml:space="preserve">No other justification — cost savings, performance, or throughput — supports it.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43" w:name="detailed-content-for-reference"/>
    <w:p>
      <w:pPr>
        <w:pStyle w:val="Heading1"/>
      </w:pPr>
      <w:r>
        <w:t xml:space="preserve">Detailed Content (for reference)</w:t>
      </w:r>
    </w:p>
    <w:p>
      <w:r>
        <w:pict>
          <v:rect style="width:0;height:1.5pt" o:hralign="center" o:hrstd="t" o:hr="t"/>
        </w:pict>
      </w:r>
    </w:p>
    <w:bookmarkStart w:id="28" w:name="X9f63a7846bb3a024a70f4e115fbb9df4aeb8640"/>
    <w:p>
      <w:pPr>
        <w:pStyle w:val="Heading2"/>
      </w:pPr>
      <w:r>
        <w:t xml:space="preserve">1. System Architecture</w:t>
      </w:r>
    </w:p>
    <w:p>
      <w:pPr>
        <w:pStyle w:val="SourceCode"/>
      </w:pPr>
      <w:r>
        <w:rPr>
          <w:rStyle w:val="VerbatimChar"/>
        </w:rPr>
        <w:t xml:space="preserve">                    [User browser / Muhayu HF Space]</w:t>
      </w:r>
      <w:r>
        <w:br/>
      </w:r>
      <w:r>
        <w:rPr>
          <w:rStyle w:val="VerbatimChar"/>
        </w:rPr>
        <w:t xml:space="preserve">                                 │  ① File upload (PDF, image, DOCX, HWP)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⑥ API/Web server — FastAPI + SSE streaming + Web UI              │</w:t>
      </w:r>
      <w:r>
        <w:br/>
      </w:r>
      <w:r>
        <w:rPr>
          <w:rStyle w:val="VerbatimChar"/>
        </w:rPr>
        <w:t xml:space="preserve"> │     PipelineOrchestrator (stage orchestration, progress push)     │</w:t>
      </w:r>
      <w:r>
        <w:br/>
      </w:r>
      <w:r>
        <w:rPr>
          <w:rStyle w:val="VerbatimChar"/>
        </w:rPr>
        <w:t xml:space="preserve"> └───┬──────────────────────────────────────────────────┬───────────┘</w:t>
      </w:r>
      <w:r>
        <w:br/>
      </w:r>
      <w:r>
        <w:rPr>
          <w:rStyle w:val="VerbatimChar"/>
        </w:rPr>
        <w:t xml:space="preserve">     │ File conversion (PDF → image)                     │</w:t>
      </w:r>
      <w:r>
        <w:br/>
      </w:r>
      <w:r>
        <w:rPr>
          <w:rStyle w:val="VerbatimChar"/>
        </w:rPr>
        <w:t xml:space="preserve">     ▼                                                   │</w:t>
      </w:r>
      <w:r>
        <w:br/>
      </w:r>
      <w:r>
        <w:rPr>
          <w:rStyle w:val="VerbatimChar"/>
        </w:rPr>
        <w:t xml:space="preserve"> ┌──────────────────────────┐                            │</w:t>
      </w:r>
      <w:r>
        <w:br/>
      </w:r>
      <w:r>
        <w:rPr>
          <w:rStyle w:val="VerbatimChar"/>
        </w:rPr>
        <w:t xml:space="preserve"> │ ① OCR                    │                            │</w:t>
      </w:r>
      <w:r>
        <w:br/>
      </w:r>
      <w:r>
        <w:rPr>
          <w:rStyle w:val="VerbatimChar"/>
        </w:rPr>
        <w:t xml:space="preserve"> │   Qwen3-VL-235B (API)    │                            │</w:t>
      </w:r>
      <w:r>
        <w:br/>
      </w:r>
      <w:r>
        <w:rPr>
          <w:rStyle w:val="VerbatimChar"/>
        </w:rPr>
        <w:t xml:space="preserve"> │   fallback: mistral→google→naver                      │</w:t>
      </w:r>
      <w:r>
        <w:br/>
      </w:r>
      <w:r>
        <w:rPr>
          <w:rStyle w:val="VerbatimChar"/>
        </w:rPr>
        <w:t xml:space="preserve"> └──────────┬───────────────┘                            │</w:t>
      </w:r>
      <w:r>
        <w:br/>
      </w:r>
      <w:r>
        <w:rPr>
          <w:rStyle w:val="VerbatimChar"/>
        </w:rPr>
        <w:t xml:space="preserve">            │ Korean text                                 │</w:t>
      </w:r>
      <w:r>
        <w:br/>
      </w:r>
      <w:r>
        <w:rPr>
          <w:rStyle w:val="VerbatimChar"/>
        </w:rPr>
        <w:t xml:space="preserve">       ┌────┴────────────────┐  (parallel execution)     │</w:t>
      </w:r>
      <w:r>
        <w:br/>
      </w:r>
      <w:r>
        <w:rPr>
          <w:rStyle w:val="VerbatimChar"/>
        </w:rPr>
        <w:t xml:space="preserve">       ▼                     ▼                           │</w:t>
      </w:r>
      <w:r>
        <w:br/>
      </w:r>
      <w:r>
        <w:rPr>
          <w:rStyle w:val="VerbatimChar"/>
        </w:rPr>
        <w:t xml:space="preserve"> ┌──────────────────┐  ┌──────────────────────┐          │</w:t>
      </w:r>
      <w:r>
        <w:br/>
      </w:r>
      <w:r>
        <w:rPr>
          <w:rStyle w:val="VerbatimChar"/>
        </w:rPr>
        <w:t xml:space="preserve"> │ ② LLM extraction │  │ ③ NER ★self-hosted   │          │</w:t>
      </w:r>
      <w:r>
        <w:br/>
      </w:r>
      <w:r>
        <w:rPr>
          <w:rStyle w:val="VerbatimChar"/>
        </w:rPr>
        <w:t xml:space="preserve"> │   qwen3.5-122b   │  │   KLUE-RoBERTa 1.3GB │          │</w:t>
      </w:r>
      <w:r>
        <w:br/>
      </w:r>
      <w:r>
        <w:rPr>
          <w:rStyle w:val="VerbatimChar"/>
        </w:rPr>
        <w:t xml:space="preserve"> │   → 67-field JSON│  │   names, orgs, phones│          │</w:t>
      </w:r>
      <w:r>
        <w:br/>
      </w:r>
      <w:r>
        <w:rPr>
          <w:rStyle w:val="VerbatimChar"/>
        </w:rPr>
        <w:t xml:space="preserve"> └────────┬─────────┘  └──────────┬───────────┘          │</w:t>
      </w:r>
      <w:r>
        <w:br/>
      </w:r>
      <w:r>
        <w:rPr>
          <w:rStyle w:val="VerbatimChar"/>
        </w:rPr>
        <w:t xml:space="preserve">          └───────────┬───────────┘                      │</w:t>
      </w:r>
      <w:r>
        <w:br/>
      </w:r>
      <w:r>
        <w:rPr>
          <w:rStyle w:val="VerbatimChar"/>
        </w:rPr>
        <w:t xml:space="preserve">                      ▼ 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┌───────────────────────────────┐                │</w:t>
      </w:r>
      <w:r>
        <w:br/>
      </w:r>
      <w:r>
        <w:rPr>
          <w:rStyle w:val="VerbatimChar"/>
        </w:rPr>
        <w:t xml:space="preserve">        │ ④ Consolidation               │                │</w:t>
      </w:r>
      <w:r>
        <w:br/>
      </w:r>
      <w:r>
        <w:rPr>
          <w:rStyle w:val="VerbatimChar"/>
        </w:rPr>
        <w:t xml:space="preserve">        │   qwen3.5-122b (API)          │                │</w:t>
      </w:r>
      <w:r>
        <w:br/>
      </w:r>
      <w:r>
        <w:rPr>
          <w:rStyle w:val="VerbatimChar"/>
        </w:rPr>
        <w:t xml:space="preserve">        │   → per-field confidence +    │                │</w:t>
      </w:r>
      <w:r>
        <w:br/>
      </w:r>
      <w:r>
        <w:rPr>
          <w:rStyle w:val="VerbatimChar"/>
        </w:rPr>
        <w:t xml:space="preserve">        │     Korean rationale          │                │</w:t>
      </w:r>
      <w:r>
        <w:br/>
      </w:r>
      <w:r>
        <w:rPr>
          <w:rStyle w:val="VerbatimChar"/>
        </w:rPr>
        <w:t xml:space="preserve">        └──────────────┬────────────────┘                │</w:t>
      </w:r>
      <w:r>
        <w:br/>
      </w:r>
      <w:r>
        <w:rPr>
          <w:rStyle w:val="VerbatimChar"/>
        </w:rPr>
        <w:t xml:space="preserve">                       │        ┌────────────────────────┴──┐</w:t>
      </w:r>
      <w:r>
        <w:br/>
      </w:r>
      <w:r>
        <w:rPr>
          <w:rStyle w:val="VerbatimChar"/>
        </w:rPr>
        <w:t xml:space="preserve">                       │        │ ⑤ Image work attributes   │</w:t>
      </w:r>
      <w:r>
        <w:br/>
      </w:r>
      <w:r>
        <w:rPr>
          <w:rStyle w:val="VerbatimChar"/>
        </w:rPr>
        <w:t xml:space="preserve">                       │        │   Gemma 4 31B (API)       │</w:t>
      </w:r>
      <w:r>
        <w:br/>
      </w:r>
      <w:r>
        <w:rPr>
          <w:rStyle w:val="VerbatimChar"/>
        </w:rPr>
        <w:t xml:space="preserve">                       │        │   → description/type/tags │</w:t>
      </w:r>
      <w:r>
        <w:br/>
      </w:r>
      <w:r>
        <w:rPr>
          <w:rStyle w:val="VerbatimChar"/>
        </w:rPr>
        <w:t xml:space="preserve">                       │        └────────────┬──────────────┘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└─────────┬───────────┘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    Final consolidated metadata JSON (SSE)</w:t>
      </w:r>
      <w:r>
        <w:br/>
      </w:r>
      <w:r>
        <w:br/>
      </w:r>
      <w:r>
        <w:rPr>
          <w:rStyle w:val="VerbatimChar"/>
        </w:rPr>
        <w:t xml:space="preserve">[External APIs]  ① ② ④ ⑤ — DashScope (Singapore) · OpenRouter · Google · Mistral · Naver</w:t>
      </w:r>
      <w:r>
        <w:br/>
      </w:r>
      <w:r>
        <w:rPr>
          <w:rStyle w:val="VerbatimChar"/>
        </w:rPr>
        <w:t xml:space="preserve">[Local compute]  ③ NER + ⑥ server + file conversion only</w:t>
      </w:r>
    </w:p>
    <w:p>
      <w:pPr>
        <w:pStyle w:val="BlockText"/>
      </w:pPr>
      <w:r>
        <w:rPr>
          <w:bCs/>
          <w:b/>
        </w:rPr>
        <w:t xml:space="preserve">Key observation:</w:t>
      </w:r>
      <w:r>
        <w:t xml:space="preserve"> </w:t>
      </w:r>
      <w:r>
        <w:t xml:space="preserve">only</w:t>
      </w:r>
      <w:r>
        <w:t xml:space="preserve"> </w:t>
      </w:r>
      <w:r>
        <w:rPr>
          <w:bCs/>
          <w:b/>
        </w:rPr>
        <w:t xml:space="preserve">③ NER and ⑥ the server</w:t>
      </w:r>
      <w:r>
        <w:t xml:space="preserve"> </w:t>
      </w:r>
      <w:r>
        <w:t xml:space="preserve">run locally; the other four stages are external API calls. That is why the system runs on a low-spec VM with no GPU.</w:t>
      </w:r>
    </w:p>
    <w:p>
      <w:r>
        <w:pict>
          <v:rect style="width:0;height:1.5pt" o:hralign="center" o:hrstd="t" o:hr="t"/>
        </w:pict>
      </w:r>
    </w:p>
    <w:bookmarkEnd w:id="28"/>
    <w:bookmarkStart w:id="33" w:name="X8a24339a9686db22c8052870a556c70f982e9f2"/>
    <w:p>
      <w:pPr>
        <w:pStyle w:val="Heading2"/>
      </w:pPr>
      <w:r>
        <w:t xml:space="preserve">2. Scenario B — Commercial APIs (current, recommended)</w:t>
      </w:r>
    </w:p>
    <w:bookmarkStart w:id="29" w:name="X3ecab24925d2a4c517119cc4f65c404bb41f5b2"/>
    <w:p>
      <w:pPr>
        <w:pStyle w:val="Heading3"/>
      </w:pPr>
      <w:r>
        <w:t xml:space="preserve">2-1. Specs and API replaceability by component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replaceable?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① 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local compute (outbound HTTPS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Yes</w:t>
            </w:r>
            <w:r>
              <w:t xml:space="preserve"> </w:t>
            </w:r>
            <w:r>
              <w:t xml:space="preserve">— Upstage $1.50/1,000p (domestic), CLOVA (domestic), Google Vision $1.50, Azure $1.50, Mistral</w:t>
            </w:r>
            <w:r>
              <w:t xml:space="preserve"> </w:t>
            </w:r>
            <m:oMath>
              <m:r>
                <m:t>2.00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u</m:t>
              </m:r>
              <m:r>
                <m:t>r</m:t>
              </m:r>
              <m:r>
                <m:t>r</m:t>
              </m:r>
              <m:r>
                <m:t>e</m:t>
              </m:r>
              <m:r>
                <m:t>n</m:t>
              </m:r>
              <m:r>
                <m:t>t</m:t>
              </m:r>
              <m:r>
                <m:t>Q</m:t>
              </m:r>
              <m:r>
                <m:t>w</m:t>
              </m:r>
              <m:r>
                <m:t>e</m:t>
              </m:r>
              <m:r>
                <m:t>n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V</m:t>
              </m:r>
              <m:r>
                <m:t>L</m:t>
              </m:r>
              <m:r>
                <m:rPr>
                  <m:sty m:val="p"/>
                </m:rPr>
                <m:t>≈</m:t>
              </m:r>
            </m:oMath>
            <w:r>
              <w:t xml:space="preserve">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② LLM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local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Yes</w:t>
            </w:r>
            <w:r>
              <w:t xml:space="preserve"> </w:t>
            </w:r>
            <w:r>
              <w:t xml:space="preserve">— current</w:t>
            </w:r>
            <w:r>
              <w:t xml:space="preserve"> </w:t>
            </w:r>
            <m:oMath>
              <m:r>
                <m:t>0.26</m:t>
              </m:r>
              <m:r>
                <m:rPr>
                  <m:sty m:val="p"/>
                </m:rPr>
                <m:t>/</m:t>
              </m:r>
            </m:oMath>
            <w:r>
              <w:t xml:space="preserve">0.90 per 1M tokens; alternative Solar Pro 3</w:t>
            </w:r>
            <w:r>
              <w:t xml:space="preserve"> </w:t>
            </w:r>
            <m:oMath>
              <m:r>
                <m:t>0.15</m:t>
              </m:r>
              <m:r>
                <m:rPr>
                  <m:sty m:val="p"/>
                </m:rPr>
                <m:t>/</m:t>
              </m:r>
            </m:oMath>
            <w:r>
              <w:t xml:space="preserve">0.60 (domestic)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③ 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vCPU / 4 GB 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vCPU / 8 GB 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No (the only mandatory self-hosted component)</w:t>
            </w:r>
            <w:r>
              <w:t xml:space="preserve"> </w:t>
            </w:r>
            <w:r>
              <w:t xml:space="preserve">— no commercial API provides copyright-domain tags (rights holder, work title, usage scope, usage period). Google NL API offers only 8 generic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④ Consolidation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local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Yes</w:t>
            </w:r>
            <w:r>
              <w:t xml:space="preserve"> </w:t>
            </w:r>
            <w:r>
              <w:t xml:space="preserve">— low token volume; under $10/month even with premium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⑤ VLM attributes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local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Yes</w:t>
            </w:r>
            <w:r>
              <w:t xml:space="preserve"> </w:t>
            </w:r>
            <w:r>
              <w:t xml:space="preserve">— Gemma 4 31B</w:t>
            </w:r>
            <w:r>
              <w:t xml:space="preserve"> </w:t>
            </w:r>
            <m:oMath>
              <m:r>
                <m:t>0.09</m:t>
              </m:r>
              <m:r>
                <m:rPr>
                  <m:sty m:val="p"/>
                </m:rPr>
                <m:t>/</m:t>
              </m:r>
            </m:oMath>
            <w:r>
              <w:t xml:space="preserve">0.34 (lowest tier). ⚠️ OpenRouter cannot guarantee processing jurisdiction → switch to a direct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⑥ API/Web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vCPU / 8 GB / 40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vCPU / 16 GB / 100 GB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29"/>
    <w:bookmarkStart w:id="30" w:name="X879642238644f8962a524a07a90dc53be2d4a5f"/>
    <w:p>
      <w:pPr>
        <w:pStyle w:val="Heading3"/>
      </w:pPr>
      <w:r>
        <w:t xml:space="preserve">2-2. Combined server spec (③ + ⑥)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 GB SSD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Current, measured (validated)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4 (Xeon 8358)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31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45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Measured basis:</w:t>
      </w:r>
      <w:r>
        <w:t xml:space="preserve"> </w:t>
      </w:r>
      <w:r>
        <w:t xml:space="preserve">API process RSS</w:t>
      </w:r>
      <w:r>
        <w:t xml:space="preserve"> </w:t>
      </w:r>
      <w:r>
        <w:rPr>
          <w:bCs/>
          <w:b/>
        </w:rPr>
        <w:t xml:space="preserve">1.12 GB</w:t>
      </w:r>
      <w:r>
        <w:t xml:space="preserve">, NER model 1.3 GB, runtime 319 MB → ~2.8 GB total.</w:t>
      </w:r>
      <w:r>
        <w:t xml:space="preserve"> </w:t>
      </w:r>
      <w:r>
        <w:t xml:space="preserve">31 GB RAM is excessive; 16 GB suffices. Disk should go from 45 GB to 100 GB to absorb accumulated results.</w:t>
      </w:r>
    </w:p>
    <w:p>
      <w:pPr>
        <w:pStyle w:val="BodyText"/>
      </w:pPr>
      <w:r>
        <w:rPr>
          <w:bCs/>
          <w:b/>
        </w:rPr>
        <w:t xml:space="preserve">Measured processing time:</w:t>
      </w:r>
      <w:r>
        <w:t xml:space="preserve"> </w:t>
      </w:r>
      <w:r>
        <w:t xml:space="preserve">one document (OCR → extraction ∥ NER → consolidation) median</w:t>
      </w:r>
      <w:r>
        <w:t xml:space="preserve"> </w:t>
      </w:r>
      <w:r>
        <w:rPr>
          <w:bCs/>
          <w:b/>
        </w:rPr>
        <w:t xml:space="preserve">109 s</w:t>
      </w:r>
      <w:r>
        <w:t xml:space="preserve">; one image median</w:t>
      </w:r>
      <w:r>
        <w:t xml:space="preserve"> </w:t>
      </w:r>
      <w:r>
        <w:rPr>
          <w:bCs/>
          <w:b/>
        </w:rPr>
        <w:t xml:space="preserve">81 s</w:t>
      </w:r>
      <w:r>
        <w:t xml:space="preserve">.</w:t>
      </w:r>
    </w:p>
    <w:bookmarkEnd w:id="30"/>
    <w:bookmarkStart w:id="31" w:name="X88a1112ea305127da2fa9c0c43b10d67bc80695"/>
    <w:p>
      <w:pPr>
        <w:pStyle w:val="Heading3"/>
      </w:pPr>
      <w:r>
        <w:t xml:space="preserve">2-3. Monthly operating cost (2,000 documents / 10,000 pages)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Qwen3-VL-235B (10,000 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$14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LLM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qwen3.5-122b-a10b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CPU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Consolidation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qwen3.5-122b-a10b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$4.8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VLM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Gemma 4 31B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$24/month (~₩34,000)</w:t>
            </w:r>
          </w:p>
        </w:tc>
      </w:tr>
    </w:tbl>
    <w:p>
      <w:pPr>
        <w:pStyle w:val="BodyText"/>
      </w:pPr>
      <w:r>
        <w:rPr>
          <w:bCs/>
          <w:b/>
        </w:rPr>
        <w:t xml:space="preserve">Full switch to domestic vendors:</w:t>
      </w:r>
      <w:r>
        <w:t xml:space="preserve"> </w:t>
      </w:r>
      <w:r>
        <w:t xml:space="preserve">Upstage OCR + Solar Pro 3 + Gemini direct =</w:t>
      </w:r>
      <w:r>
        <w:t xml:space="preserve"> </w:t>
      </w:r>
      <w:r>
        <w:rPr>
          <w:bCs/>
          <w:b/>
        </w:rPr>
        <w:t xml:space="preserve">≈</w:t>
      </w:r>
      <w:r>
        <w:rPr>
          <w:bCs/>
          <w:b/>
        </w:rPr>
        <w:t xml:space="preserve"> </w:t>
      </w:r>
      <m:oMath>
        <m:r>
          <m:t>23</m:t>
        </m:r>
        <m:r>
          <m:rPr>
            <m:sty m:val="p"/>
          </m:rPr>
          <m:t>/</m:t>
        </m:r>
        <m:r>
          <m:t>m</m:t>
        </m:r>
        <m:r>
          <m:t>o</m:t>
        </m:r>
        <m:r>
          <m:t>n</m:t>
        </m:r>
        <m:r>
          <m:t>t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 </m:t>
            </m:r>
            <m:r>
              <m:rPr>
                <m:sty m:val="p"/>
              </m:rPr>
              <m:t>₩</m:t>
            </m:r>
            <m:r>
              <m:t>32</m:t>
            </m:r>
            <m:r>
              <m:rPr>
                <m:sty m:val="p"/>
              </m:rPr>
              <m:t>,</m:t>
            </m:r>
            <m:r>
              <m:t>000</m:t>
            </m:r>
          </m:e>
        </m:d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→</m:t>
        </m:r>
        <m:r>
          <m:rPr>
            <m:sty m:val="p"/>
          </m:rPr>
          <m:t>*</m:t>
        </m:r>
        <m:r>
          <m:rPr>
            <m:sty m:val="p"/>
          </m:rPr>
          <m:t>*</m:t>
        </m:r>
      </m:oMath>
      <w:r>
        <w:rPr>
          <w:bCs/>
          <w:b/>
        </w:rPr>
        <w:t xml:space="preserve">1 cheaper.</w:t>
      </w:r>
      <w:r>
        <w:t xml:space="preserve"> </w:t>
      </w:r>
      <w:r>
        <w:t xml:space="preserve">The cross-border data risk can be removed at no additional cost.</w:t>
      </w:r>
    </w:p>
    <w:bookmarkEnd w:id="31"/>
    <w:bookmarkStart w:id="32" w:name="X3890a98042364555a9019baf54f17438b6b7434"/>
    <w:p>
      <w:pPr>
        <w:pStyle w:val="Heading3"/>
      </w:pPr>
      <w:r>
        <w:t xml:space="preserve">2-4. ⚠️ Cross-border personal-data review (required before the demonstration contract)</w:t>
      </w:r>
    </w:p>
    <w:p>
      <w:pPr>
        <w:pStyle w:val="FirstParagraph"/>
      </w:pPr>
      <w:r>
        <w:t xml:space="preserve">The target documents contain</w:t>
      </w:r>
      <w:r>
        <w:t xml:space="preserve"> </w:t>
      </w:r>
      <w:r>
        <w:rPr>
          <w:bCs/>
          <w:b/>
        </w:rPr>
        <w:t xml:space="preserve">names, resident registration numbers, dates of birth, phone numbers, and addresses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Naver CLOVA, Upstage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 domestically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Manageable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(asia-northeast3), Azure (Korea Central)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can be pinned, but foreign 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Caution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DashScope (current, Singapore)</w:t>
            </w:r>
            <w:r>
              <w:t xml:space="preserve">, Mistral (EU)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transfer — must be disclosed in the privacy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Highest 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OpenRouter (current 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 across many providers → processing country/entity cannot be identified; likely to be flagged in public-sector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X5383588691ea04f34574850d237dedc440c88a2"/>
    <w:p>
      <w:pPr>
        <w:pStyle w:val="Heading2"/>
      </w:pPr>
      <w:r>
        <w:t xml:space="preserve">3. Scenario A — Full self-hosting</w:t>
      </w:r>
    </w:p>
    <w:bookmarkStart w:id="34" w:name="Xeb2ed22e3806b4c0d6cdeecc52d03b53c8316b0"/>
    <w:p>
      <w:pPr>
        <w:pStyle w:val="Heading3"/>
      </w:pPr>
      <w:r>
        <w:t xml:space="preserve">3-1. ⚠️ Premise — the current models cannot be self-hosted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Current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BF16 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Qwen3-VL-235B (① OCR)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235B MoE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~470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H100 80GB</w:t>
            </w:r>
            <w:r>
              <w:t xml:space="preserve"> </w:t>
            </w:r>
            <w:r>
              <w:rPr>
                <w:bCs/>
                <w:b/>
              </w:rPr>
              <w:t xml:space="preserve">×8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GPUs alone $200K+ (cloud $14,400/month)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qwen3.5-122b-a10b (② ④)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122B MoE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~244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H100</w:t>
            </w:r>
            <w:r>
              <w:t xml:space="preserve"> </w:t>
            </w:r>
            <w:r>
              <w:rPr>
                <w:bCs/>
                <w:b/>
              </w:rPr>
              <w:t xml:space="preserve">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viable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 4 31B (⑤)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 GB (INT4 18.7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× 48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Feasible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KLUE-RoBERTa (③)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Keep as is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MoE trap:</w:t>
      </w:r>
      <w:r>
        <w:t xml:space="preserve"> </w:t>
      </w:r>
      <w:r>
        <w:t xml:space="preserve">even though only 22B/10B parameters are active,</w:t>
      </w:r>
      <w:r>
        <w:t xml:space="preserve"> </w:t>
      </w:r>
      <w:r>
        <w:rPr>
          <w:bCs/>
          <w:b/>
        </w:rPr>
        <w:t xml:space="preserve">all weights must reside in VRAM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→ Self-hosting mandates model replacement, with accuracy risk.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→ Replacement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235B →</w:t>
            </w:r>
            <w:r>
              <w:t xml:space="preserve"> </w:t>
            </w:r>
            <w:r>
              <w:rPr>
                <w:bCs/>
                <w:b/>
              </w:rPr>
              <w:t xml:space="preserve">Qwen3-VL-8B-FP8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Accuracy must be re-validated (best open Korean OCR model)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PaddleOCR-VL 0.9B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Korean MDPBench</w:t>
            </w:r>
            <w:r>
              <w:t xml:space="preserve"> </w:t>
            </w:r>
            <w:r>
              <w:rPr>
                <w:bCs/>
                <w:b/>
              </w:rPr>
              <w:t xml:space="preserve">86.0</w:t>
            </w:r>
            <w:r>
              <w:t xml:space="preserve"> </w:t>
            </w:r>
            <w:r>
              <w:t xml:space="preserve">(exceeds Gemini-3-pro's 74.8)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122B →</w:t>
            </w:r>
            <w:r>
              <w:t xml:space="preserve"> </w:t>
            </w:r>
            <w:r>
              <w:rPr>
                <w:bCs/>
                <w:b/>
              </w:rPr>
              <w:t xml:space="preserve">Qwen3-32B-FP8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EXAONE 4.0 32B</w:t>
            </w:r>
            <w:r>
              <w:t xml:space="preserve"> </w:t>
            </w:r>
            <w:r>
              <w:t xml:space="preserve">(LG, Korean-specialized)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67-field extraction accuracy loss — the largest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VLM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Gemma 4 31B</w:t>
            </w:r>
            <w:r>
              <w:t xml:space="preserve"> </w:t>
            </w:r>
            <w:r>
              <w:rPr>
                <w:bCs/>
                <w:b/>
              </w:rPr>
              <w:t xml:space="preserve">retained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 GB (INT4)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pPr>
        <w:pStyle w:val="BlockText"/>
      </w:pPr>
      <w:r>
        <w:t xml:space="preserve">🚨</w:t>
      </w:r>
      <w:r>
        <w:t xml:space="preserve"> </w:t>
      </w:r>
      <w:r>
        <w:rPr>
          <w:bCs/>
          <w:b/>
        </w:rPr>
        <w:t xml:space="preserve">Important: Gemma cannot replace OCR.</w:t>
      </w:r>
      <w:r>
        <w:t xml:space="preserve"> </w:t>
      </w:r>
      <w:r>
        <w:t xml:space="preserve">On the Korean OCR benchmark (KO-OCRAG),</w:t>
      </w:r>
      <w:r>
        <w:t xml:space="preserve"> </w:t>
      </w:r>
      <w:r>
        <w:rPr>
          <w:bCs/>
          <w:b/>
        </w:rPr>
        <w:t xml:space="preserve">Gemma-3-27B scores 3.63 and Gemma-3-12B scores 0.50</w:t>
      </w:r>
      <w:r>
        <w:t xml:space="preserve"> </w:t>
      </w:r>
      <w:r>
        <w:t xml:space="preserve">— effectively failure (Qwen3-VL-8B scores 56.26). Gemma must be restricted to</w:t>
      </w:r>
      <w:r>
        <w:t xml:space="preserve"> </w:t>
      </w:r>
      <w:r>
        <w:rPr>
          <w:bCs/>
          <w:b/>
        </w:rPr>
        <w:t xml:space="preserve">image attributes/captioning</w:t>
      </w:r>
      <w:r>
        <w:t xml:space="preserve">. This confirms the current architecture (OCR = Qwen, image attributes = Gemma) was correct.</w:t>
      </w:r>
    </w:p>
    <w:bookmarkEnd w:id="34"/>
    <w:bookmarkStart w:id="35" w:name="Xed23264699963a1961f66a9ccfb236f9aea933f"/>
    <w:p>
      <w:pPr>
        <w:pStyle w:val="Heading3"/>
      </w:pPr>
      <w:r>
        <w:t xml:space="preserve">3-2. Hardware options (Korean retail prices, July 2026)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A-1 Minimum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A-2 Recommended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A-3 Headroom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5090 32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RTX 6000 Ada 48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PRO 6000 Blackwell 96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₩7.54M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₩11.3M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₩21.16M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 W (loud, open-air)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W (Max-Q)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/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Ryzen 9 / 128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Threadripper / 256 GB ECC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Threadripper PRO / 256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Storage, PSU, UPS,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~₩3M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~₩6.8M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~₩10.4M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initial investment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₩11.7M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₩18.1M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₩31.6M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3–5</w:t>
            </w:r>
            <w:r>
              <w:t xml:space="preserve"> </w:t>
            </w:r>
            <w:r>
              <w:t xml:space="preserve">← matches demo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5–10</w:t>
            </w:r>
          </w:p>
        </w:tc>
      </w:tr>
    </w:tbl>
    <w:p>
      <w:pPr>
        <w:pStyle w:val="BodyText"/>
      </w:pPr>
      <w:r>
        <w:rPr>
          <w:bCs/>
          <w:b/>
        </w:rPr>
        <w:t xml:space="preserve">Two notes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 not buy A100 80 GB</w:t>
      </w:r>
      <w:r>
        <w:t xml:space="preserve"> </w:t>
      </w:r>
      <w:r>
        <w:t xml:space="preserve">— ₩38.65M domestically, yet lower performance than RTX PRO 6000 (₩21.16M) and requires a server chassis.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This is a poor time to buy GPUs</w:t>
      </w:r>
      <w:r>
        <w:t xml:space="preserve"> </w:t>
      </w:r>
      <w:r>
        <w:t xml:space="preserve">— the memory shortage has pushed RTX 5090 to 2.7× MSRP and RTX PRO 6000 to +55%.</w:t>
      </w:r>
    </w:p>
    <w:bookmarkEnd w:id="35"/>
    <w:bookmarkStart w:id="36" w:name="X8ae836229ecf96bfc296f8aee7fa997e376a179"/>
    <w:p>
      <w:pPr>
        <w:pStyle w:val="Heading3"/>
      </w:pPr>
      <w:r>
        <w:t xml:space="preserve">3-2-1. Higher-end review — RTX PRO 6000 Blackwell 96 GB, 1 card vs 2</w:t>
      </w:r>
    </w:p>
    <w:p>
      <w:pPr>
        <w:pStyle w:val="FirstParagraph"/>
      </w:pPr>
      <w:r>
        <w:rPr>
          <w:bCs/>
          <w:b/>
        </w:rPr>
        <w:t xml:space="preserve">VRAM requirement by precision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NVFP4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Qwen3-VL-235B-A22B (current OCR)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118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qwen3.5-122b-a10b (current extraction)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61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 4 31B (current image VLM)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Qwen3-VL-32B (OCR alternative)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Qwen3-VL-8B (lightweight OCR)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GB</w:t>
            </w:r>
          </w:p>
        </w:tc>
      </w:tr>
    </w:tbl>
    <w:p>
      <w:pPr>
        <w:pStyle w:val="BodyText"/>
      </w:pPr>
      <w:r>
        <w:rPr>
          <w:bCs/>
          <w:b/>
        </w:rPr>
        <w:t xml:space="preserve">① Single card (96 GB)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OCR 235B (any precision)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≥118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Impossible — no card fixes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extraction 122B (NVFP4)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Feasible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 8B FP8 + extraction 32B FP8 + VLM FP4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Recommended single-card build</w:t>
            </w:r>
          </w:p>
        </w:tc>
      </w:tr>
    </w:tbl>
    <w:p>
      <w:pPr>
        <w:pStyle w:val="BodyText"/>
      </w:pPr>
      <w:r>
        <w:rPr>
          <w:bCs/>
          <w:b/>
        </w:rPr>
        <w:t xml:space="preserve">② Two cards (192 GB)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three current models (235B+122B+31B, all NVFP4)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194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Fails by 2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 32B FP8 + extraction 122B FP8 + VLM FP8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Insufficient KV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OCR 32B FP8 + extraction 122B FP4 + VLM FP4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108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Recommended two-card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235B OCR (FP4) + VLM FP4 (extraction swapped)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Possible but not advised</w:t>
            </w:r>
          </w:p>
        </w:tc>
      </w:tr>
    </w:tbl>
    <w:p>
      <w:pPr>
        <w:pStyle w:val="BlockText"/>
      </w:pPr>
      <w:r>
        <w:rPr>
          <w:bCs/>
          <w:b/>
        </w:rPr>
        <w:t xml:space="preserve">Key conclusion:</w:t>
      </w:r>
      <w:r>
        <w:t xml:space="preserve"> </w:t>
      </w:r>
      <w:r>
        <w:t xml:space="preserve">even two cards (192 GB)</w:t>
      </w:r>
      <w:r>
        <w:t xml:space="preserve"> </w:t>
      </w:r>
      <w:r>
        <w:rPr>
          <w:bCs/>
          <w:b/>
        </w:rPr>
        <w:t xml:space="preserve">cannot host all three current models simultaneously</w:t>
      </w:r>
      <w:r>
        <w:t xml:space="preserve"> </w:t>
      </w:r>
      <w:r>
        <w:t xml:space="preserve">(194 GB needed). One of the three must be replaced or swapped in and out.</w:t>
      </w:r>
    </w:p>
    <w:p>
      <w:pPr>
        <w:pStyle w:val="FirstParagraph"/>
      </w:pPr>
      <w:r>
        <w:rPr>
          <w:bCs/>
          <w:b/>
        </w:rPr>
        <w:t xml:space="preserve">③ Placement strategy given the absence of NVLink (important)</w:t>
      </w:r>
    </w:p>
    <w:p>
      <w:pPr>
        <w:pStyle w:val="BodyText"/>
      </w:pPr>
      <w:r>
        <w:t xml:space="preserve">RTX PRO 6000 Blackwell</w:t>
      </w:r>
      <w:r>
        <w:t xml:space="preserve"> </w:t>
      </w:r>
      <w:r>
        <w:rPr>
          <w:bCs/>
          <w:b/>
        </w:rPr>
        <w:t xml:space="preserve">does not support NVLink</w:t>
      </w:r>
      <w:r>
        <w:t xml:space="preserve"> </w:t>
      </w:r>
      <w:r>
        <w:t xml:space="preserve">(verify before purchase). Therefore: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If a single model exceeds 96 GB</w:t>
      </w:r>
      <w:r>
        <w:t xml:space="preserve">, tensor parallelism across both cards is forced, and inter-GPU traffic goes over</w:t>
      </w:r>
      <w:r>
        <w:t xml:space="preserve"> </w:t>
      </w:r>
      <w:r>
        <w:rPr>
          <w:bCs/>
          <w:b/>
        </w:rPr>
        <w:t xml:space="preserve">PCIe 5.0 (~64 GB/s)</w:t>
      </w:r>
      <w:r>
        <w:t xml:space="preserve"> </w:t>
      </w:r>
      <w:r>
        <w:t xml:space="preserve">instead of NVLink (900 GB/s+). MoE models suffer most, since expert routing is communication-heavy → applies to the current 235B (118 GB).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If every model fits under 61 GB</w:t>
      </w:r>
      <w:r>
        <w:t xml:space="preserve">, each model sits entirely on one card →</w:t>
      </w:r>
      <w:r>
        <w:t xml:space="preserve"> </w:t>
      </w:r>
      <w:r>
        <w:rPr>
          <w:bCs/>
          <w:b/>
        </w:rPr>
        <w:t xml:space="preserve">zero inter-GPU traffic</w:t>
      </w:r>
      <w:r>
        <w:t xml:space="preserve">, full speed.</w:t>
      </w:r>
    </w:p>
    <w:p>
      <w:pPr>
        <w:pStyle w:val="SourceCode"/>
      </w:pPr>
      <w:r>
        <w:rPr>
          <w:rStyle w:val="VerbatimChar"/>
        </w:rPr>
        <w:t xml:space="preserve">Recommended two-card placement (no tensor parallelism)</w:t>
      </w:r>
      <w:r>
        <w:br/>
      </w:r>
      <w:r>
        <w:rPr>
          <w:rStyle w:val="VerbatimChar"/>
        </w:rPr>
        <w:t xml:space="preserve">  GPU 0 │ qwen3.5-122b (FP4) 61 GB                     → 35 GB KV headroom</w:t>
      </w:r>
      <w:r>
        <w:br/>
      </w:r>
      <w:r>
        <w:rPr>
          <w:rStyle w:val="VerbatimChar"/>
        </w:rPr>
        <w:t xml:space="preserve">  GPU 1 │ Qwen3-VL-32B (FP8) 32 GB + Gemma (FP4) 16 GB = 48 GB → 48 GB KV headroom</w:t>
      </w:r>
    </w:p>
    <w:p>
      <w:pPr>
        <w:pStyle w:val="FirstParagraph"/>
      </w:pPr>
      <w:r>
        <w:rPr>
          <w:bCs/>
          <w:b/>
        </w:rPr>
        <w:t xml:space="preserve">④ Cost and power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Break-even vs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RTX PRO 6000 96 GB ×1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₩21.16M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₩31.6M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W (Max-Q 300 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77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RTX PRO 6000 96 GB ×2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₩42.32M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₩50M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1,200 W (Max-Q 600 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122 years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A two-card build needs a 1,600–2,000 W PSU and a dedicated circuit. For a lab environment,</w:t>
      </w:r>
      <w:r>
        <w:t xml:space="preserve"> </w:t>
      </w:r>
      <w:r>
        <w:rPr>
          <w:bCs/>
          <w:b/>
        </w:rPr>
        <w:t xml:space="preserve">the Max-Q variant (300 W × 2) is strongly recommended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MoE quantization risk:</w:t>
      </w:r>
      <w:r>
        <w:t xml:space="preserve"> </w:t>
      </w:r>
      <w:r>
        <w:t xml:space="preserve">both primary models (235B-A22B, 122B-A10B) are</w:t>
      </w:r>
      <w:r>
        <w:t xml:space="preserve"> </w:t>
      </w:r>
      <w:r>
        <w:rPr>
          <w:bCs/>
          <w:b/>
        </w:rPr>
        <w:t xml:space="preserve">MoE</w:t>
      </w:r>
      <w:r>
        <w:t xml:space="preserve">, and MoE is sensitive to INT4/FP4 quantization. Whether the measured 98% OCR accuracy and 67-field extraction accuracy survive FP4 compression is</w:t>
      </w:r>
      <w:r>
        <w:t xml:space="preserve"> </w:t>
      </w:r>
      <w:r>
        <w:rPr>
          <w:bCs/>
          <w:b/>
        </w:rPr>
        <w:t xml:space="preserve">unverified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⑤ Assessment</w:t>
      </w:r>
    </w:p>
    <w:p>
      <w:pPr>
        <w:numPr>
          <w:ilvl w:val="0"/>
          <w:numId w:val="1005"/>
        </w:numPr>
        <w:pStyle w:val="Compact"/>
      </w:pPr>
      <w:r>
        <w:t xml:space="preserve">At demo scale (1–5 concurrent users), two cards buy</w:t>
      </w:r>
      <w:r>
        <w:t xml:space="preserve"> </w:t>
      </w:r>
      <w:r>
        <w:rPr>
          <w:bCs/>
          <w:b/>
        </w:rPr>
        <w:t xml:space="preserve">VRAM capacity, not compute</w:t>
      </w:r>
      <w:r>
        <w:t xml:space="preserve"> </w:t>
      </w:r>
      <w:r>
        <w:t xml:space="preserve">— one card already has throughput to spare.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only reason to buy two cards is to retain the current 122B extraction model at FP4.</w:t>
      </w:r>
    </w:p>
    <w:p>
      <w:pPr>
        <w:numPr>
          <w:ilvl w:val="0"/>
          <w:numId w:val="1005"/>
        </w:numPr>
        <w:pStyle w:val="Compact"/>
      </w:pPr>
      <w:r>
        <w:t xml:space="preserve">Since Korean OCR does not benefit from larger models (Qwen3-VL-</w:t>
      </w:r>
      <w:r>
        <w:rPr>
          <w:bCs/>
          <w:b/>
        </w:rPr>
        <w:t xml:space="preserve">8B</w:t>
      </w:r>
      <w:r>
        <w:t xml:space="preserve"> </w:t>
      </w:r>
      <w:r>
        <w:t xml:space="preserve">56.26 &gt; Qwen2.5-VL-</w:t>
      </w:r>
      <w:r>
        <w:rPr>
          <w:bCs/>
          <w:b/>
        </w:rPr>
        <w:t xml:space="preserve">32B</w:t>
      </w:r>
      <w:r>
        <w:t xml:space="preserve"> </w:t>
      </w:r>
      <w:r>
        <w:t xml:space="preserve">33.36; PaddleOCR-VL</w:t>
      </w:r>
      <w:r>
        <w:t xml:space="preserve"> </w:t>
      </w:r>
      <w:r>
        <w:rPr>
          <w:bCs/>
          <w:b/>
        </w:rPr>
        <w:t xml:space="preserve">0.9B</w:t>
      </w:r>
      <w:r>
        <w:t xml:space="preserve"> </w:t>
      </w:r>
      <w:r>
        <w:t xml:space="preserve">86.0),</w:t>
      </w:r>
      <w:r>
        <w:t xml:space="preserve"> </w:t>
      </w:r>
      <w:r>
        <w:rPr>
          <w:bCs/>
          <w:b/>
        </w:rPr>
        <w:t xml:space="preserve">a two-card build to preserve the 235B is not recommended.</w:t>
      </w:r>
    </w:p>
    <w:p>
      <w:pPr>
        <w:numPr>
          <w:ilvl w:val="0"/>
          <w:numId w:val="1005"/>
        </w:numPr>
        <w:pStyle w:val="Compact"/>
      </w:pPr>
      <w:r>
        <w:t xml:space="preserve">₩50M can only be justified by an</w:t>
      </w:r>
      <w:r>
        <w:t xml:space="preserve"> </w:t>
      </w:r>
      <w:r>
        <w:rPr>
          <w:bCs/>
          <w:b/>
        </w:rPr>
        <w:t xml:space="preserve">air-gap requirement</w:t>
      </w:r>
      <w:r>
        <w:t xml:space="preserve">, not by performance or cost.</w:t>
      </w:r>
    </w:p>
    <w:bookmarkEnd w:id="36"/>
    <w:bookmarkStart w:id="37" w:name="X0d0f6ced331e696cc46edeb87e6a2e6d35b0b8b"/>
    <w:p>
      <w:pPr>
        <w:pStyle w:val="Heading3"/>
      </w:pPr>
      <w:r>
        <w:t xml:space="preserve">3-3. Ancillary requirements (not included in the investment figures)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400–700 W continuous → ₩50,000–90,000/month; dedicated circuit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external (Muhayu) calls.</w:t>
            </w:r>
            <w:r>
              <w:t xml:space="preserve"> </w:t>
            </w:r>
            <w:r>
              <w:rPr>
                <w:bCs/>
                <w:b/>
              </w:rPr>
              <w:t xml:space="preserve">Campus networks typically block inbound</w:t>
            </w:r>
            <w:r>
              <w:t xml:space="preserve"> </w:t>
            </w:r>
            <w:r>
              <w:t xml:space="preserve">→ separate application, possibly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HTTPS, auth tokens, blocked admin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Heat / 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W continuous → cooling required if located in the 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Setup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4–8 weeks</w:t>
            </w:r>
            <w:r>
              <w:t xml:space="preserve"> </w:t>
            </w:r>
            <w:r>
              <w:t xml:space="preserve">(GPU supply and campus network approval are variables)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Xa6f95b13e92119186bf5472e9773e98c8e9ea1c"/>
    <w:p>
      <w:pPr>
        <w:pStyle w:val="Heading2"/>
      </w:pPr>
      <w:r>
        <w:t xml:space="preserve">4. Scenario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Self-hosted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B: Commercial APIs (current)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₩11.7M–31.6M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₩0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₩50–90K power + admin labor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₩32,000–34,000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Break-even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44 years → unrecoverable at demo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Downgrade unavoidable (unverified)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Top-tier models, validated in 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Air-gap possible (A's only decisive advantage)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Cross-border transfer (but resolved by domestic vendors at identical cost)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4–8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days (already running)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(drivers, OOM tuning, power, model updates)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(vendor-managed; fallback already implemented)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more GPUs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</w:tr>
    </w:tbl>
    <w:p>
      <w:pPr>
        <w:pStyle w:val="Block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B wins on 6 of 8 criteria. A's sole decisive advantage — air-gapped processing — is</w:t>
      </w:r>
      <w:r>
        <w:t xml:space="preserve"> </w:t>
      </w:r>
      <w:r>
        <w:rPr>
          <w:bCs/>
          <w:b/>
        </w:rPr>
        <w:t xml:space="preserve">largely resolved by switching to domestic vendors at the same ₩32,000/month</w:t>
      </w:r>
      <w:r>
        <w:t xml:space="preserve">.</w:t>
      </w:r>
      <w:r>
        <w:t xml:space="preserve"> </w:t>
      </w:r>
      <w:r>
        <w:rPr>
          <w:bCs/>
          <w:b/>
        </w:rPr>
        <w:t xml:space="preserve">Self-hosting is justified by data sovereignty, not by cost or performance.</w:t>
      </w:r>
    </w:p>
    <w:p>
      <w:r>
        <w:pict>
          <v:rect style="width:0;height:1.5pt" o:hralign="center" o:hrstd="t" o:hr="t"/>
        </w:pict>
      </w:r>
    </w:p>
    <w:bookmarkEnd w:id="39"/>
    <w:bookmarkStart w:id="41" w:name="X3ff663d93cdf52436805e5996af6231de5e3bdd"/>
    <w:p>
      <w:pPr>
        <w:pStyle w:val="Heading2"/>
      </w:pPr>
      <w:r>
        <w:t xml:space="preserve">5. Final recommendation — hybrid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① OCR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— re-prioritize to domestic 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Upstage/CLOVA first, DashScope as fallback. The fallback chain is already implemented →</w:t>
            </w:r>
            <w:r>
              <w:t xml:space="preserve"> </w:t>
            </w:r>
            <w:r>
              <w:rPr>
                <w:bCs/>
                <w:b/>
              </w:rPr>
              <w:t xml:space="preserve">minimal code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aux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PaddleOCR PP-OCRv5 korean,</w:t>
            </w:r>
            <w:r>
              <w:t xml:space="preserve"> </w:t>
            </w:r>
            <w:r>
              <w:rPr>
                <w:bCs/>
                <w:b/>
              </w:rPr>
              <w:t xml:space="preserve">local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Apache-2.0, ₩0, no GPU. Provides an offline/air-gap fallback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② LLM extraction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Keep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Replacing with a self-hosted 32B carries accuracy risk with no 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③ 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Self-hosted (unchanged)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commercial equivalent; ₩0; personal data stays 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④ Consolidation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Keep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$10/month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⑤ VLM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Keep API — but leave OpenRouter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 jurisdiction cannot be identified → switch to a Google direct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⑥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Self-hosted (current VM)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vCPU / 16 GB / 100 GB</w:t>
            </w:r>
          </w:p>
        </w:tc>
      </w:tr>
    </w:tbl>
    <w:p>
      <w:pPr>
        <w:pStyle w:val="BodyText"/>
      </w:pPr>
      <w:r>
        <w:rPr>
          <w:bCs/>
          <w:b/>
        </w:rPr>
        <w:t xml:space="preserve">Hybrid final spec: 4 vCPU / 16 GB RAM / 100 GB SSD / No GPU · ₩0 upfront · ₩32,000/month</w:t>
      </w:r>
    </w:p>
    <w:bookmarkStart w:id="40" w:name="Xf7d2b296d86dc93c40587422166196dac04e42a"/>
    <w:p>
      <w:pPr>
        <w:pStyle w:val="Heading3"/>
      </w:pPr>
      <w:r>
        <w:t xml:space="preserve">Conditions that would warrant revisiting GPU purchase (any one)</w:t>
      </w:r>
    </w:p>
    <w:p>
      <w:pPr>
        <w:numPr>
          <w:ilvl w:val="0"/>
          <w:numId w:val="1006"/>
        </w:numPr>
        <w:pStyle w:val="Compact"/>
      </w:pPr>
      <w:r>
        <w:t xml:space="preserve">The client institution mandates</w:t>
      </w:r>
      <w:r>
        <w:t xml:space="preserve"> </w:t>
      </w:r>
      <w:r>
        <w:rPr>
          <w:bCs/>
          <w:b/>
        </w:rPr>
        <w:t xml:space="preserve">fully air-gapped processing</w:t>
      </w:r>
      <w:r>
        <w:t xml:space="preserve"> </w:t>
      </w:r>
      <w:r>
        <w:t xml:space="preserve">as a contractual condition</w:t>
      </w:r>
    </w:p>
    <w:p>
      <w:pPr>
        <w:numPr>
          <w:ilvl w:val="0"/>
          <w:numId w:val="1006"/>
        </w:numPr>
        <w:pStyle w:val="Compact"/>
      </w:pPr>
      <w:r>
        <w:t xml:space="preserve">Sustained bulk processing (100K+ documents/month) is confirmed → break-even shortens to ~15 months</w:t>
      </w:r>
    </w:p>
    <w:p>
      <w:pPr>
        <w:numPr>
          <w:ilvl w:val="0"/>
          <w:numId w:val="1006"/>
        </w:numPr>
        <w:pStyle w:val="Compact"/>
      </w:pPr>
      <w:r>
        <w:t xml:space="preserve">Self-model fine-tuning becomes a core research contribution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(with 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 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 (recommended)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6000 Ada 48 GB ×1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₩18.1M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(PaddleOCR-VL/8B) + LLM (32B) + VLM (Gemma INT4) co-resident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PRO 6000 96 GB ×1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₩31.6M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+</w:t>
            </w:r>
            <w:r>
              <w:t xml:space="preserve"> </w:t>
            </w:r>
            <w:r>
              <w:rPr>
                <w:bCs/>
                <w:b/>
              </w:rPr>
              <w:t xml:space="preserve">current 122B extraction model (FP4, 61 GB)</w:t>
            </w:r>
            <w:r>
              <w:t xml:space="preserve"> </w:t>
            </w:r>
            <w:r>
              <w:t xml:space="preserve">retained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PRO 6000 96 GB 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₩50M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with headroom (84 GB KV).</w:t>
            </w:r>
            <w:r>
              <w:t xml:space="preserve"> </w:t>
            </w:r>
            <w:r>
              <w:rPr>
                <w:bCs/>
                <w:b/>
              </w:rPr>
              <w:t xml:space="preserve">Still cannot host all three current models (194 GB)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even with two cards, the current OCR 235B + extraction 122B + VLM</w:t>
      </w:r>
      <w:r>
        <w:t xml:space="preserve"> </w:t>
      </w:r>
      <w:r>
        <w:rPr>
          <w:bCs/>
          <w:b/>
        </w:rPr>
        <w:t xml:space="preserve">cannot be co-resident</w:t>
      </w:r>
      <w:r>
        <w:t xml:space="preserve"> </w:t>
      </w:r>
      <w:r>
        <w:t xml:space="preserve">(194 GB &gt; 192 GB).</w:t>
      </w:r>
      <w:r>
        <w:t xml:space="preserve"> </w:t>
      </w:r>
      <w:r>
        <w:rPr>
          <w:bCs/>
          <w:b/>
        </w:rPr>
        <w:t xml:space="preserve">OCR model replacement and accuracy re-validation are unavoidable in every configuration.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0720d5fbcce6ba53e6d3412958437030a30476e"/>
    <w:p>
      <w:pPr>
        <w:pStyle w:val="Heading2"/>
      </w:pPr>
      <w:r>
        <w:t xml:space="preserve">6. Items requiring confirmation</w:t>
      </w:r>
    </w:p>
    <w:p>
      <w:pPr>
        <w:pStyle w:val="FirstParagraph"/>
      </w:pPr>
      <w:r>
        <w:t xml:space="preserve">Please confirm the following before the meeting — the recommendation depends on them.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Is transmitting documents (containing personal data) to overseas APIs permitted in the demonstration environment?</w:t>
      </w:r>
    </w:p>
    <w:p>
      <w:pPr>
        <w:numPr>
          <w:ilvl w:val="1"/>
          <w:numId w:val="1008"/>
        </w:numPr>
        <w:pStyle w:val="Compact"/>
      </w:pPr>
      <w:r>
        <w:t xml:space="preserve">Permitted → keep Scenario B (current)</w:t>
      </w:r>
    </w:p>
    <w:p>
      <w:pPr>
        <w:numPr>
          <w:ilvl w:val="1"/>
          <w:numId w:val="1008"/>
        </w:numPr>
        <w:pStyle w:val="Compact"/>
      </w:pPr>
      <w:r>
        <w:t xml:space="preserve">Not permitted → switch to domestic vendors (same cost) or self-host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What is the expected throughput</w:t>
      </w:r>
      <w:r>
        <w:t xml:space="preserve"> </w:t>
      </w:r>
      <w:r>
        <w:t xml:space="preserve">(documents per day/month)? Above ~100K/month, GPU investment becomes worth evaluating.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Will external systems (Muhayu) call our server directly?</w:t>
      </w:r>
      <w:r>
        <w:t xml:space="preserve"> </w:t>
      </w:r>
      <w:r>
        <w:t xml:space="preserve">Self-hosting would then require a public IP.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2026-07-29T03:16:36Z</dcterms:created>
  <dcterms:modified xsi:type="dcterms:W3CDTF">2026-07-29T03:16:36Z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