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alosac39rjq" w:id="0"/>
      <w:bookmarkEnd w:id="0"/>
      <w:r w:rsidDel="00000000" w:rsidR="00000000" w:rsidRPr="00000000">
        <w:rPr>
          <w:rtl w:val="0"/>
        </w:rPr>
        <w:t xml:space="preserve">Top Pattern Search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String Matching: Given a text string and a pattern string, determine whether the pattern occurs within the text and return its starting index.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Regular Expression Matching: Given a text string and a regular expression pattern, determine whether the pattern matches the entire text or not.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Word Search: Given a 2D grid of characters and a word, determine whether the word can be formed by following adjacent cells (horizontal or vertical) in the grid.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Subarray Sum Equals K: Given an array of integers and a target sum, find all subarrays whose sum is equal to the target.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Pattern Matching in Binary Trees: Given a binary tree and a pattern, determine whether the pattern matches any substructure within the tree.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Anagram Substring Search: Given a text string and a pattern string, find all occurrences of anagrams of the pattern within the text.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Wildcard Pattern Matching: Given a text string and a wildcard pattern containing '?' and '*', determine whether the pattern matches the entire text or not.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Longest Common Prefix: Given an array of strings, find the longest common prefix among them.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Pattern Matching in Graphs: Given a graph and a pattern, find all occurrences of the pattern as a subgraph within the given graph.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Longest Palindromic Substring: Given a string, find the longest substring that is a palindrome.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