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B9" w:rsidRDefault="003252BB">
      <w:r>
        <w:t>Q). Implement one Smart beta strategy and discuss its pros and cons compared to a benchmark.</w:t>
      </w:r>
    </w:p>
    <w:p w:rsidR="005347A8" w:rsidRDefault="005347A8"/>
    <w:p w:rsidR="005347A8" w:rsidRDefault="00246E71">
      <w:r>
        <w:t>The strategy I implemented is the low vol smart beta strategy. The universe we consider here is the S&amp;P 500 constituents as of today. The strategy is implemented by first calculating the rolling 6-month vol of each stock. The stocks with volatilities in the lowest decile are selected and an equal weighted portfolio is formed from them. The portfolio is con</w:t>
      </w:r>
      <w:r w:rsidR="003B4588">
        <w:t>stituents are calculated every month</w:t>
      </w:r>
      <w:r>
        <w:t xml:space="preserve"> and the holdings are held constant</w:t>
      </w:r>
      <w:r w:rsidR="003B4588">
        <w:t xml:space="preserve"> for the duration of the month</w:t>
      </w:r>
      <w:bookmarkStart w:id="0" w:name="_GoBack"/>
      <w:bookmarkEnd w:id="0"/>
      <w:r>
        <w:t xml:space="preserve">. The strategy is back-tested from 2010-06-01 to 2017-07-31. </w:t>
      </w:r>
    </w:p>
    <w:p w:rsidR="00010BE0" w:rsidRDefault="00010BE0"/>
    <w:p w:rsidR="00010BE0" w:rsidRDefault="00010BE0">
      <w:r>
        <w:t>Results:</w:t>
      </w:r>
    </w:p>
    <w:p w:rsidR="00F97A58" w:rsidRDefault="00F97A58"/>
    <w:tbl>
      <w:tblPr>
        <w:tblW w:w="6620" w:type="dxa"/>
        <w:tblLook w:val="04A0" w:firstRow="1" w:lastRow="0" w:firstColumn="1" w:lastColumn="0" w:noHBand="0" w:noVBand="1"/>
      </w:tblPr>
      <w:tblGrid>
        <w:gridCol w:w="1460"/>
        <w:gridCol w:w="1780"/>
        <w:gridCol w:w="1600"/>
        <w:gridCol w:w="1780"/>
      </w:tblGrid>
      <w:tr w:rsidR="00E16E2B" w:rsidRPr="00E16E2B" w:rsidTr="00E16E2B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6E2B" w:rsidRPr="00E16E2B" w:rsidRDefault="00E16E2B" w:rsidP="00E16E2B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b/>
                <w:bCs/>
                <w:color w:val="000000"/>
                <w:szCs w:val="22"/>
              </w:rPr>
              <w:t>Strategy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6E2B" w:rsidRPr="00E16E2B" w:rsidRDefault="00E16E2B" w:rsidP="00E16E2B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b/>
                <w:bCs/>
                <w:color w:val="000000"/>
                <w:szCs w:val="22"/>
              </w:rPr>
              <w:t>Mean Return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6E2B" w:rsidRPr="00E16E2B" w:rsidRDefault="00E16E2B" w:rsidP="00E16E2B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b/>
                <w:bCs/>
                <w:color w:val="000000"/>
                <w:szCs w:val="22"/>
              </w:rPr>
              <w:t>Vol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6E2B" w:rsidRPr="00E16E2B" w:rsidRDefault="00E16E2B" w:rsidP="00E16E2B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b/>
                <w:bCs/>
                <w:color w:val="000000"/>
                <w:szCs w:val="22"/>
              </w:rPr>
              <w:t>Sharpe Ratio</w:t>
            </w:r>
          </w:p>
        </w:tc>
      </w:tr>
      <w:tr w:rsidR="00E16E2B" w:rsidRPr="00E16E2B" w:rsidTr="00E16E2B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6E2B" w:rsidRPr="00E16E2B" w:rsidRDefault="00E16E2B" w:rsidP="00E16E2B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Low Vol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E2B" w:rsidRPr="00E16E2B" w:rsidRDefault="00E16E2B" w:rsidP="00E16E2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color w:val="000000"/>
                <w:szCs w:val="22"/>
              </w:rPr>
              <w:t>12.58%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E2B" w:rsidRPr="00E16E2B" w:rsidRDefault="00E16E2B" w:rsidP="00E16E2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color w:val="000000"/>
                <w:szCs w:val="22"/>
              </w:rPr>
              <w:t>9.45%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E2B" w:rsidRPr="00E16E2B" w:rsidRDefault="00E16E2B" w:rsidP="00E16E2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color w:val="000000"/>
                <w:szCs w:val="22"/>
              </w:rPr>
              <w:t>1.331</w:t>
            </w:r>
          </w:p>
        </w:tc>
      </w:tr>
      <w:tr w:rsidR="00E16E2B" w:rsidRPr="00E16E2B" w:rsidTr="00E16E2B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16E2B" w:rsidRPr="00E16E2B" w:rsidRDefault="00E16E2B" w:rsidP="00E16E2B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b/>
                <w:bCs/>
                <w:color w:val="000000"/>
                <w:szCs w:val="22"/>
              </w:rPr>
              <w:t>SPY Equity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E2B" w:rsidRPr="00E16E2B" w:rsidRDefault="00E16E2B" w:rsidP="00E16E2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color w:val="000000"/>
                <w:szCs w:val="22"/>
              </w:rPr>
              <w:t>13.03%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E2B" w:rsidRPr="00E16E2B" w:rsidRDefault="00E16E2B" w:rsidP="00E16E2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color w:val="000000"/>
                <w:szCs w:val="22"/>
              </w:rPr>
              <w:t>11.66%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E2B" w:rsidRPr="00E16E2B" w:rsidRDefault="00E16E2B" w:rsidP="00E16E2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16E2B">
              <w:rPr>
                <w:rFonts w:ascii="Calibri" w:hAnsi="Calibri" w:cs="Calibri"/>
                <w:color w:val="000000"/>
                <w:szCs w:val="22"/>
              </w:rPr>
              <w:t>1.117</w:t>
            </w:r>
          </w:p>
        </w:tc>
      </w:tr>
    </w:tbl>
    <w:p w:rsidR="00E16E2B" w:rsidRDefault="00E16E2B"/>
    <w:p w:rsidR="00246E71" w:rsidRDefault="00246E71"/>
    <w:p w:rsidR="00246E71" w:rsidRDefault="00B60504">
      <w:r>
        <w:t xml:space="preserve">The benchmark chosen is the </w:t>
      </w:r>
      <w:r w:rsidR="00DB0F77">
        <w:t>SPY (proxy for S&amp;P 500)</w:t>
      </w:r>
      <w:r>
        <w:t xml:space="preserve">. </w:t>
      </w:r>
    </w:p>
    <w:p w:rsidR="00B60504" w:rsidRDefault="00B60504"/>
    <w:p w:rsidR="00B60504" w:rsidRDefault="00B60504">
      <w:r>
        <w:t>Possible Improvements:</w:t>
      </w:r>
    </w:p>
    <w:p w:rsidR="00B60504" w:rsidRDefault="00B60504" w:rsidP="00B60504">
      <w:pPr>
        <w:pStyle w:val="ListParagraph"/>
        <w:numPr>
          <w:ilvl w:val="0"/>
          <w:numId w:val="1"/>
        </w:numPr>
      </w:pPr>
      <w:r>
        <w:t>Point in time constituents of S&amp;P 500 constituents should be considered</w:t>
      </w:r>
      <w:r w:rsidR="004001D8">
        <w:t xml:space="preserve"> to avoid survivorship bias.</w:t>
      </w:r>
    </w:p>
    <w:p w:rsidR="004001D8" w:rsidRDefault="004001D8" w:rsidP="00B60504">
      <w:pPr>
        <w:pStyle w:val="ListParagraph"/>
        <w:numPr>
          <w:ilvl w:val="0"/>
          <w:numId w:val="1"/>
        </w:numPr>
      </w:pPr>
      <w:r>
        <w:t>Possible sector biases can be avoided by constructing low vol portfolios for each sector and then combining them.</w:t>
      </w:r>
    </w:p>
    <w:p w:rsidR="004001D8" w:rsidRDefault="00447231" w:rsidP="00B60504">
      <w:pPr>
        <w:pStyle w:val="ListParagraph"/>
        <w:numPr>
          <w:ilvl w:val="0"/>
          <w:numId w:val="1"/>
        </w:numPr>
      </w:pPr>
      <w:r>
        <w:t>The beta of the resulting portfolio should be made close to 1.</w:t>
      </w:r>
    </w:p>
    <w:p w:rsidR="00B96D52" w:rsidRDefault="00B96D52" w:rsidP="00B60504">
      <w:pPr>
        <w:pStyle w:val="ListParagraph"/>
        <w:numPr>
          <w:ilvl w:val="0"/>
          <w:numId w:val="1"/>
        </w:numPr>
      </w:pPr>
      <w:r>
        <w:t>Dividends for the stocks were ignored and should be incorporated.</w:t>
      </w:r>
    </w:p>
    <w:p w:rsidR="00447231" w:rsidRDefault="00447231" w:rsidP="00447231"/>
    <w:p w:rsidR="005B15C9" w:rsidRDefault="00F92BF4" w:rsidP="00447231">
      <w:r>
        <w:t>Pros:</w:t>
      </w:r>
    </w:p>
    <w:p w:rsidR="00F92BF4" w:rsidRDefault="00840E7B" w:rsidP="00856CF3">
      <w:pPr>
        <w:pStyle w:val="ListParagraph"/>
        <w:numPr>
          <w:ilvl w:val="0"/>
          <w:numId w:val="2"/>
        </w:numPr>
      </w:pPr>
      <w:r>
        <w:t>This portfolio is meant to have a lowe</w:t>
      </w:r>
      <w:r w:rsidR="004A2CFF">
        <w:t>r volatility than the benchmark and is less volatile.</w:t>
      </w:r>
    </w:p>
    <w:p w:rsidR="00CB2128" w:rsidRDefault="00721CE5" w:rsidP="00856CF3">
      <w:pPr>
        <w:pStyle w:val="ListParagraph"/>
        <w:numPr>
          <w:ilvl w:val="0"/>
          <w:numId w:val="2"/>
        </w:numPr>
      </w:pPr>
      <w:r>
        <w:t xml:space="preserve">Historically this portfolio has </w:t>
      </w:r>
      <w:r w:rsidR="00610626">
        <w:t>outperformed the benchmark</w:t>
      </w:r>
      <w:r w:rsidR="00AD5147">
        <w:t xml:space="preserve"> in terms of Sharpe Ratio</w:t>
      </w:r>
      <w:r w:rsidR="002B4E87">
        <w:t xml:space="preserve"> and hence, for equal risk, this portfolio </w:t>
      </w:r>
      <w:r w:rsidR="00610626">
        <w:t xml:space="preserve">beats </w:t>
      </w:r>
      <w:r w:rsidR="002B4E87">
        <w:t>the benchmark.</w:t>
      </w:r>
    </w:p>
    <w:p w:rsidR="00AD5147" w:rsidRDefault="00247041" w:rsidP="00856CF3">
      <w:pPr>
        <w:pStyle w:val="ListParagraph"/>
        <w:numPr>
          <w:ilvl w:val="0"/>
          <w:numId w:val="2"/>
        </w:numPr>
      </w:pPr>
      <w:r>
        <w:t xml:space="preserve">The portfolio is negatively correlated to the </w:t>
      </w:r>
      <w:r w:rsidR="00AE5A25">
        <w:t>index</w:t>
      </w:r>
      <w:r>
        <w:t xml:space="preserve">, and hence can be incorporated along with </w:t>
      </w:r>
      <w:r w:rsidR="00AE5A25">
        <w:t>the index</w:t>
      </w:r>
      <w:r>
        <w:t xml:space="preserve"> for better overall Sharpe Ratio.</w:t>
      </w:r>
    </w:p>
    <w:p w:rsidR="00F92BF4" w:rsidRDefault="00F92BF4" w:rsidP="00447231"/>
    <w:p w:rsidR="00F92BF4" w:rsidRDefault="00F92BF4" w:rsidP="00447231">
      <w:r>
        <w:t>Cons:</w:t>
      </w:r>
    </w:p>
    <w:p w:rsidR="00552FD9" w:rsidRDefault="00552FD9" w:rsidP="00552FD9">
      <w:pPr>
        <w:pStyle w:val="ListParagraph"/>
        <w:numPr>
          <w:ilvl w:val="0"/>
          <w:numId w:val="3"/>
        </w:numPr>
      </w:pPr>
      <w:r>
        <w:t>May inclu</w:t>
      </w:r>
      <w:r w:rsidR="00CA5B20">
        <w:t>de very low market cap stocks at</w:t>
      </w:r>
      <w:r>
        <w:t xml:space="preserve"> a </w:t>
      </w:r>
      <w:r w:rsidR="00CA5B20">
        <w:t>h</w:t>
      </w:r>
      <w:r>
        <w:t>igh weight.</w:t>
      </w:r>
    </w:p>
    <w:p w:rsidR="006974E1" w:rsidRDefault="00552FD9" w:rsidP="00552FD9">
      <w:pPr>
        <w:pStyle w:val="ListParagraph"/>
        <w:numPr>
          <w:ilvl w:val="0"/>
          <w:numId w:val="3"/>
        </w:numPr>
      </w:pPr>
      <w:r>
        <w:t>Might induce exposures to known risk-premia incidentally</w:t>
      </w:r>
      <w:r w:rsidR="006974E1">
        <w:t xml:space="preserve"> as this is not an established source of risk premium.</w:t>
      </w:r>
    </w:p>
    <w:p w:rsidR="00552FD9" w:rsidRDefault="00C43023" w:rsidP="00552FD9">
      <w:pPr>
        <w:pStyle w:val="ListParagraph"/>
        <w:numPr>
          <w:ilvl w:val="0"/>
          <w:numId w:val="3"/>
        </w:numPr>
      </w:pPr>
      <w:r>
        <w:t xml:space="preserve">Costly to invest in because of the transaction costs compared to the </w:t>
      </w:r>
      <w:r w:rsidR="00527205">
        <w:t>benchmark</w:t>
      </w:r>
    </w:p>
    <w:sectPr w:rsidR="00552F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3670"/>
    <w:multiLevelType w:val="hybridMultilevel"/>
    <w:tmpl w:val="1BD6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A0BB0"/>
    <w:multiLevelType w:val="hybridMultilevel"/>
    <w:tmpl w:val="95A8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5F48"/>
    <w:multiLevelType w:val="hybridMultilevel"/>
    <w:tmpl w:val="2890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BB"/>
    <w:rsid w:val="00010BE0"/>
    <w:rsid w:val="000A3EB4"/>
    <w:rsid w:val="000D367F"/>
    <w:rsid w:val="00246E71"/>
    <w:rsid w:val="00247041"/>
    <w:rsid w:val="002B4E87"/>
    <w:rsid w:val="003252BB"/>
    <w:rsid w:val="00377440"/>
    <w:rsid w:val="003B4588"/>
    <w:rsid w:val="004001D8"/>
    <w:rsid w:val="00447231"/>
    <w:rsid w:val="004A2CFF"/>
    <w:rsid w:val="00527205"/>
    <w:rsid w:val="005347A8"/>
    <w:rsid w:val="00552FD9"/>
    <w:rsid w:val="005B15C9"/>
    <w:rsid w:val="00610626"/>
    <w:rsid w:val="006974E1"/>
    <w:rsid w:val="00721CE5"/>
    <w:rsid w:val="00840E7B"/>
    <w:rsid w:val="00856CF3"/>
    <w:rsid w:val="009739E3"/>
    <w:rsid w:val="00A321B9"/>
    <w:rsid w:val="00AD5147"/>
    <w:rsid w:val="00AE5A25"/>
    <w:rsid w:val="00B60504"/>
    <w:rsid w:val="00B96D52"/>
    <w:rsid w:val="00C43023"/>
    <w:rsid w:val="00CA5B20"/>
    <w:rsid w:val="00CB17DD"/>
    <w:rsid w:val="00CB2128"/>
    <w:rsid w:val="00DB0F77"/>
    <w:rsid w:val="00E16E2B"/>
    <w:rsid w:val="00F92BF4"/>
    <w:rsid w:val="00F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208EC"/>
  <w15:chartTrackingRefBased/>
  <w15:docId w15:val="{6F81CFC8-9D0A-4454-891A-2451D4D1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45</cp:revision>
  <dcterms:created xsi:type="dcterms:W3CDTF">2017-08-31T23:57:00Z</dcterms:created>
  <dcterms:modified xsi:type="dcterms:W3CDTF">2017-09-01T12:53:00Z</dcterms:modified>
</cp:coreProperties>
</file>