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header+xml" PartName="/word/header2.xml"/>
  <Override ContentType="application/vnd.openxmlformats-officedocument.wordprocessingml.footer+xml" PartName="/word/footer1.xml"/>
  <Override ContentType="application/vnd.openxmlformats-officedocument.wordprocessingml.footer+xml" PartName="/word/footer2.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600"/>
      </w:pPr>
    </w:p>
    <w:p>
      <w:pPr>
        <w:spacing w:after="80"/>
        <w:jc w:val="center"/>
      </w:pPr>
      <w:r>
        <w:rPr>
          <w:rFonts w:ascii="Arial" w:cs="Arial" w:eastAsia="Arial" w:hAnsi="Arial"/>
          <w:b/>
          <w:bCs/>
          <w:color w:val="C0392B"/>
          <w:sz w:val="56"/>
          <w:szCs w:val="56"/>
        </w:rPr>
        <w:t xml:space="preserve">RAPPORT DE STAGE</w:t>
      </w:r>
    </w:p>
    <w:p>
      <w:pPr>
        <w:spacing w:after="500"/>
        <w:jc w:val="center"/>
      </w:pPr>
      <w:r>
        <w:rPr>
          <w:rFonts w:ascii="Arial" w:cs="Arial" w:eastAsia="Arial" w:hAnsi="Arial"/>
          <w:color w:val="1A1A1A"/>
          <w:sz w:val="28"/>
          <w:szCs w:val="28"/>
        </w:rPr>
        <w:t xml:space="preserve">Mise en place d'un tableau de bord de pilotage</w:t>
      </w:r>
    </w:p>
    <w:p>
      <w:pPr>
        <w:spacing w:after="60"/>
        <w:jc w:val="center"/>
      </w:pPr>
      <w:r>
        <w:rPr>
          <w:rFonts w:ascii="Arial" w:cs="Arial" w:eastAsia="Arial" w:hAnsi="Arial"/>
          <w:i/>
          <w:iCs/>
          <w:color w:val="555555"/>
          <w:sz w:val="24"/>
          <w:szCs w:val="24"/>
        </w:rPr>
        <w:t xml:space="preserve">Nettoyage et analyse des données de commandes</w:t>
      </w:r>
    </w:p>
    <w:p>
      <w:pPr>
        <w:spacing w:after="60"/>
        <w:jc w:val="center"/>
      </w:pPr>
      <w:r>
        <w:rPr>
          <w:rFonts w:ascii="Arial" w:cs="Arial" w:eastAsia="Arial" w:hAnsi="Arial"/>
          <w:i/>
          <w:iCs/>
          <w:color w:val="555555"/>
          <w:sz w:val="24"/>
          <w:szCs w:val="24"/>
        </w:rPr>
        <w:t xml:space="preserve">Collecte et analyse des avis clients</w:t>
      </w:r>
    </w:p>
    <w:p>
      <w:pPr>
        <w:spacing w:after="600"/>
      </w:pPr>
    </w:p>
    <w:tbl>
      <w:tblPr>
        <w:tblW w:type="dxa" w:w="9360"/>
        <w:jc w:val="center"/>
        <w:tblBorders>
          <w:top w:val="single" w:color="auto" w:sz="4"/>
          <w:left w:val="single" w:color="auto" w:sz="4"/>
          <w:bottom w:val="single" w:color="auto" w:sz="4"/>
          <w:right w:val="single" w:color="auto" w:sz="4"/>
          <w:insideH w:val="single" w:color="auto" w:sz="4"/>
          <w:insideV w:val="single" w:color="auto" w:sz="4"/>
        </w:tblBorders>
      </w:tblPr>
      <w:tblGrid>
        <w:gridCol w:w="3000"/>
        <w:gridCol w:w="6360"/>
      </w:tblGrid>
      <w:tr>
        <w:tc>
          <w:tcPr>
            <w:tcW w:type="dxa" w:w="3000"/>
            <w:tcBorders>
              <w:top w:val="single" w:color="D9B8B8" w:sz="4"/>
              <w:left w:val="single" w:color="D9B8B8" w:sz="4"/>
              <w:bottom w:val="single" w:color="D9B8B8" w:sz="4"/>
              <w:right w:val="single" w:color="D9B8B8" w:sz="4"/>
            </w:tcBorders>
            <w:shd w:fill="FBEAEA" w:val="clear"/>
            <w:tcMar>
              <w:top w:type="dxa" w:w="100"/>
              <w:left w:type="dxa" w:w="150"/>
              <w:bottom w:type="dxa" w:w="100"/>
              <w:right w:type="dxa" w:w="150"/>
            </w:tcMar>
            <w:vAlign w:val="center"/>
          </w:tcPr>
          <w:p>
            <w:r>
              <w:rPr>
                <w:rFonts w:ascii="Arial" w:cs="Arial" w:eastAsia="Arial" w:hAnsi="Arial"/>
                <w:b/>
                <w:bCs/>
                <w:color w:val="1A1A1A"/>
                <w:sz w:val="21"/>
                <w:szCs w:val="21"/>
              </w:rPr>
              <w:t xml:space="preserve">Étudiante</w:t>
            </w:r>
          </w:p>
        </w:tc>
        <w:tc>
          <w:tcPr>
            <w:tcW w:type="dxa" w:w="6360"/>
            <w:tcBorders>
              <w:top w:val="single" w:color="D9B8B8" w:sz="4"/>
              <w:left w:val="single" w:color="D9B8B8" w:sz="4"/>
              <w:bottom w:val="single" w:color="D9B8B8" w:sz="4"/>
              <w:right w:val="single" w:color="D9B8B8" w:sz="4"/>
            </w:tcBorders>
            <w:tcMar>
              <w:top w:type="dxa" w:w="100"/>
              <w:left w:type="dxa" w:w="150"/>
              <w:bottom w:type="dxa" w:w="100"/>
              <w:right w:type="dxa" w:w="150"/>
            </w:tcMar>
            <w:vAlign w:val="center"/>
          </w:tcPr>
          <w:p>
            <w:r>
              <w:rPr>
                <w:rFonts w:ascii="Arial" w:cs="Arial" w:eastAsia="Arial" w:hAnsi="Arial"/>
                <w:color w:val="1A1A1A"/>
                <w:sz w:val="21"/>
                <w:szCs w:val="21"/>
              </w:rPr>
              <w:t xml:space="preserve">Surenthini Sivakumar</w:t>
            </w:r>
          </w:p>
        </w:tc>
      </w:tr>
      <w:tr>
        <w:tc>
          <w:tcPr>
            <w:tcW w:type="dxa" w:w="3000"/>
            <w:tcBorders>
              <w:top w:val="single" w:color="D9B8B8" w:sz="4"/>
              <w:left w:val="single" w:color="D9B8B8" w:sz="4"/>
              <w:bottom w:val="single" w:color="D9B8B8" w:sz="4"/>
              <w:right w:val="single" w:color="D9B8B8" w:sz="4"/>
            </w:tcBorders>
            <w:shd w:fill="FBEAEA" w:val="clear"/>
            <w:tcMar>
              <w:top w:type="dxa" w:w="100"/>
              <w:left w:type="dxa" w:w="150"/>
              <w:bottom w:type="dxa" w:w="100"/>
              <w:right w:type="dxa" w:w="150"/>
            </w:tcMar>
            <w:vAlign w:val="center"/>
          </w:tcPr>
          <w:p>
            <w:r>
              <w:rPr>
                <w:rFonts w:ascii="Arial" w:cs="Arial" w:eastAsia="Arial" w:hAnsi="Arial"/>
                <w:b/>
                <w:bCs/>
                <w:color w:val="1A1A1A"/>
                <w:sz w:val="21"/>
                <w:szCs w:val="21"/>
              </w:rPr>
              <w:t xml:space="preserve">Formation</w:t>
            </w:r>
          </w:p>
        </w:tc>
        <w:tc>
          <w:tcPr>
            <w:tcW w:type="dxa" w:w="6360"/>
            <w:tcBorders>
              <w:top w:val="single" w:color="D9B8B8" w:sz="4"/>
              <w:left w:val="single" w:color="D9B8B8" w:sz="4"/>
              <w:bottom w:val="single" w:color="D9B8B8" w:sz="4"/>
              <w:right w:val="single" w:color="D9B8B8" w:sz="4"/>
            </w:tcBorders>
            <w:tcMar>
              <w:top w:type="dxa" w:w="100"/>
              <w:left w:type="dxa" w:w="150"/>
              <w:bottom w:type="dxa" w:w="100"/>
              <w:right w:type="dxa" w:w="150"/>
            </w:tcMar>
            <w:vAlign w:val="center"/>
          </w:tcPr>
          <w:p>
            <w:r>
              <w:rPr>
                <w:rFonts w:ascii="Arial" w:cs="Arial" w:eastAsia="Arial" w:hAnsi="Arial"/>
                <w:color w:val="1A1A1A"/>
                <w:sz w:val="21"/>
                <w:szCs w:val="21"/>
              </w:rPr>
              <w:t xml:space="preserve">BUT Science des données - 2ème année</w:t>
            </w:r>
          </w:p>
        </w:tc>
      </w:tr>
      <w:tr>
        <w:tc>
          <w:tcPr>
            <w:tcW w:type="dxa" w:w="3000"/>
            <w:tcBorders>
              <w:top w:val="single" w:color="D9B8B8" w:sz="4"/>
              <w:left w:val="single" w:color="D9B8B8" w:sz="4"/>
              <w:bottom w:val="single" w:color="D9B8B8" w:sz="4"/>
              <w:right w:val="single" w:color="D9B8B8" w:sz="4"/>
            </w:tcBorders>
            <w:shd w:fill="FBEAEA" w:val="clear"/>
            <w:tcMar>
              <w:top w:type="dxa" w:w="100"/>
              <w:left w:type="dxa" w:w="150"/>
              <w:bottom w:type="dxa" w:w="100"/>
              <w:right w:type="dxa" w:w="150"/>
            </w:tcMar>
            <w:vAlign w:val="center"/>
          </w:tcPr>
          <w:p>
            <w:r>
              <w:rPr>
                <w:rFonts w:ascii="Arial" w:cs="Arial" w:eastAsia="Arial" w:hAnsi="Arial"/>
                <w:b/>
                <w:bCs/>
                <w:color w:val="1A1A1A"/>
                <w:sz w:val="21"/>
                <w:szCs w:val="21"/>
              </w:rPr>
              <w:t xml:space="preserve">Établissement</w:t>
            </w:r>
          </w:p>
        </w:tc>
        <w:tc>
          <w:tcPr>
            <w:tcW w:type="dxa" w:w="6360"/>
            <w:tcBorders>
              <w:top w:val="single" w:color="D9B8B8" w:sz="4"/>
              <w:left w:val="single" w:color="D9B8B8" w:sz="4"/>
              <w:bottom w:val="single" w:color="D9B8B8" w:sz="4"/>
              <w:right w:val="single" w:color="D9B8B8" w:sz="4"/>
            </w:tcBorders>
            <w:tcMar>
              <w:top w:type="dxa" w:w="100"/>
              <w:left w:type="dxa" w:w="150"/>
              <w:bottom w:type="dxa" w:w="100"/>
              <w:right w:type="dxa" w:w="150"/>
            </w:tcMar>
            <w:vAlign w:val="center"/>
          </w:tcPr>
          <w:p>
            <w:r>
              <w:rPr>
                <w:rFonts w:ascii="Arial" w:cs="Arial" w:eastAsia="Arial" w:hAnsi="Arial"/>
                <w:color w:val="1A1A1A"/>
                <w:sz w:val="21"/>
                <w:szCs w:val="21"/>
              </w:rPr>
              <w:t xml:space="preserve">IUT de Villetaneuse</w:t>
            </w:r>
          </w:p>
        </w:tc>
      </w:tr>
      <w:tr>
        <w:tc>
          <w:tcPr>
            <w:tcW w:type="dxa" w:w="3000"/>
            <w:tcBorders>
              <w:top w:val="single" w:color="D9B8B8" w:sz="4"/>
              <w:left w:val="single" w:color="D9B8B8" w:sz="4"/>
              <w:bottom w:val="single" w:color="D9B8B8" w:sz="4"/>
              <w:right w:val="single" w:color="D9B8B8" w:sz="4"/>
            </w:tcBorders>
            <w:shd w:fill="FBEAEA" w:val="clear"/>
            <w:tcMar>
              <w:top w:type="dxa" w:w="100"/>
              <w:left w:type="dxa" w:w="150"/>
              <w:bottom w:type="dxa" w:w="100"/>
              <w:right w:type="dxa" w:w="150"/>
            </w:tcMar>
            <w:vAlign w:val="center"/>
          </w:tcPr>
          <w:p>
            <w:r>
              <w:rPr>
                <w:rFonts w:ascii="Arial" w:cs="Arial" w:eastAsia="Arial" w:hAnsi="Arial"/>
                <w:b/>
                <w:bCs/>
                <w:color w:val="1A1A1A"/>
                <w:sz w:val="21"/>
                <w:szCs w:val="21"/>
              </w:rPr>
              <w:t xml:space="preserve">Entreprise d'accueil</w:t>
            </w:r>
          </w:p>
        </w:tc>
        <w:tc>
          <w:tcPr>
            <w:tcW w:type="dxa" w:w="6360"/>
            <w:tcBorders>
              <w:top w:val="single" w:color="D9B8B8" w:sz="4"/>
              <w:left w:val="single" w:color="D9B8B8" w:sz="4"/>
              <w:bottom w:val="single" w:color="D9B8B8" w:sz="4"/>
              <w:right w:val="single" w:color="D9B8B8" w:sz="4"/>
            </w:tcBorders>
            <w:tcMar>
              <w:top w:type="dxa" w:w="100"/>
              <w:left w:type="dxa" w:w="150"/>
              <w:bottom w:type="dxa" w:w="100"/>
              <w:right w:type="dxa" w:w="150"/>
            </w:tcMar>
            <w:vAlign w:val="center"/>
          </w:tcPr>
          <w:p>
            <w:r>
              <w:rPr>
                <w:rFonts w:ascii="Arial" w:cs="Arial" w:eastAsia="Arial" w:hAnsi="Arial"/>
                <w:color w:val="1A1A1A"/>
                <w:sz w:val="21"/>
                <w:szCs w:val="21"/>
              </w:rPr>
              <w:t xml:space="preserve">Nesri Discount</w:t>
            </w:r>
          </w:p>
        </w:tc>
      </w:tr>
      <w:tr>
        <w:tc>
          <w:tcPr>
            <w:tcW w:type="dxa" w:w="3000"/>
            <w:tcBorders>
              <w:top w:val="single" w:color="D9B8B8" w:sz="4"/>
              <w:left w:val="single" w:color="D9B8B8" w:sz="4"/>
              <w:bottom w:val="single" w:color="D9B8B8" w:sz="4"/>
              <w:right w:val="single" w:color="D9B8B8" w:sz="4"/>
            </w:tcBorders>
            <w:shd w:fill="FBEAEA" w:val="clear"/>
            <w:tcMar>
              <w:top w:type="dxa" w:w="100"/>
              <w:left w:type="dxa" w:w="150"/>
              <w:bottom w:type="dxa" w:w="100"/>
              <w:right w:type="dxa" w:w="150"/>
            </w:tcMar>
            <w:vAlign w:val="center"/>
          </w:tcPr>
          <w:p>
            <w:r>
              <w:rPr>
                <w:rFonts w:ascii="Arial" w:cs="Arial" w:eastAsia="Arial" w:hAnsi="Arial"/>
                <w:b/>
                <w:bCs/>
                <w:color w:val="1A1A1A"/>
                <w:sz w:val="21"/>
                <w:szCs w:val="21"/>
              </w:rPr>
              <w:t xml:space="preserve">Adresse</w:t>
            </w:r>
          </w:p>
        </w:tc>
        <w:tc>
          <w:tcPr>
            <w:tcW w:type="dxa" w:w="6360"/>
            <w:tcBorders>
              <w:top w:val="single" w:color="D9B8B8" w:sz="4"/>
              <w:left w:val="single" w:color="D9B8B8" w:sz="4"/>
              <w:bottom w:val="single" w:color="D9B8B8" w:sz="4"/>
              <w:right w:val="single" w:color="D9B8B8" w:sz="4"/>
            </w:tcBorders>
            <w:tcMar>
              <w:top w:type="dxa" w:w="100"/>
              <w:left w:type="dxa" w:w="150"/>
              <w:bottom w:type="dxa" w:w="100"/>
              <w:right w:type="dxa" w:w="150"/>
            </w:tcMar>
            <w:vAlign w:val="center"/>
          </w:tcPr>
          <w:p>
            <w:r>
              <w:rPr>
                <w:rFonts w:ascii="Arial" w:cs="Arial" w:eastAsia="Arial" w:hAnsi="Arial"/>
                <w:color w:val="1A1A1A"/>
                <w:sz w:val="21"/>
                <w:szCs w:val="21"/>
              </w:rPr>
              <w:t xml:space="preserve">98 boulevard de Ménilmontant</w:t>
            </w:r>
          </w:p>
        </w:tc>
      </w:tr>
      <w:tr>
        <w:tc>
          <w:tcPr>
            <w:tcW w:type="dxa" w:w="3000"/>
            <w:tcBorders>
              <w:top w:val="single" w:color="D9B8B8" w:sz="4"/>
              <w:left w:val="single" w:color="D9B8B8" w:sz="4"/>
              <w:bottom w:val="single" w:color="D9B8B8" w:sz="4"/>
              <w:right w:val="single" w:color="D9B8B8" w:sz="4"/>
            </w:tcBorders>
            <w:shd w:fill="FBEAEA" w:val="clear"/>
            <w:tcMar>
              <w:top w:type="dxa" w:w="100"/>
              <w:left w:type="dxa" w:w="150"/>
              <w:bottom w:type="dxa" w:w="100"/>
              <w:right w:type="dxa" w:w="150"/>
            </w:tcMar>
            <w:vAlign w:val="center"/>
          </w:tcPr>
          <w:p>
            <w:r>
              <w:rPr>
                <w:rFonts w:ascii="Arial" w:cs="Arial" w:eastAsia="Arial" w:hAnsi="Arial"/>
                <w:b/>
                <w:bCs/>
                <w:color w:val="1A1A1A"/>
                <w:sz w:val="21"/>
                <w:szCs w:val="21"/>
              </w:rPr>
              <w:t xml:space="preserve">Maître de stage</w:t>
            </w:r>
          </w:p>
        </w:tc>
        <w:tc>
          <w:tcPr>
            <w:tcW w:type="dxa" w:w="6360"/>
            <w:tcBorders>
              <w:top w:val="single" w:color="D9B8B8" w:sz="4"/>
              <w:left w:val="single" w:color="D9B8B8" w:sz="4"/>
              <w:bottom w:val="single" w:color="D9B8B8" w:sz="4"/>
              <w:right w:val="single" w:color="D9B8B8" w:sz="4"/>
            </w:tcBorders>
            <w:tcMar>
              <w:top w:type="dxa" w:w="100"/>
              <w:left w:type="dxa" w:w="150"/>
              <w:bottom w:type="dxa" w:w="100"/>
              <w:right w:type="dxa" w:w="150"/>
            </w:tcMar>
            <w:vAlign w:val="center"/>
          </w:tcPr>
          <w:p>
            <w:r>
              <w:rPr>
                <w:rFonts w:ascii="Arial" w:cs="Arial" w:eastAsia="Arial" w:hAnsi="Arial"/>
                <w:color w:val="1A1A1A"/>
                <w:sz w:val="21"/>
                <w:szCs w:val="21"/>
              </w:rPr>
              <w:t xml:space="preserve">M. Nesri</w:t>
            </w:r>
          </w:p>
        </w:tc>
      </w:tr>
      <w:tr>
        <w:tc>
          <w:tcPr>
            <w:tcW w:type="dxa" w:w="3000"/>
            <w:tcBorders>
              <w:top w:val="single" w:color="D9B8B8" w:sz="4"/>
              <w:left w:val="single" w:color="D9B8B8" w:sz="4"/>
              <w:bottom w:val="single" w:color="D9B8B8" w:sz="4"/>
              <w:right w:val="single" w:color="D9B8B8" w:sz="4"/>
            </w:tcBorders>
            <w:shd w:fill="FBEAEA" w:val="clear"/>
            <w:tcMar>
              <w:top w:type="dxa" w:w="100"/>
              <w:left w:type="dxa" w:w="150"/>
              <w:bottom w:type="dxa" w:w="100"/>
              <w:right w:type="dxa" w:w="150"/>
            </w:tcMar>
            <w:vAlign w:val="center"/>
          </w:tcPr>
          <w:p>
            <w:r>
              <w:rPr>
                <w:rFonts w:ascii="Arial" w:cs="Arial" w:eastAsia="Arial" w:hAnsi="Arial"/>
                <w:b/>
                <w:bCs/>
                <w:color w:val="1A1A1A"/>
                <w:sz w:val="21"/>
                <w:szCs w:val="21"/>
              </w:rPr>
              <w:t xml:space="preserve">Tutrice IUT</w:t>
            </w:r>
          </w:p>
        </w:tc>
        <w:tc>
          <w:tcPr>
            <w:tcW w:type="dxa" w:w="6360"/>
            <w:tcBorders>
              <w:top w:val="single" w:color="D9B8B8" w:sz="4"/>
              <w:left w:val="single" w:color="D9B8B8" w:sz="4"/>
              <w:bottom w:val="single" w:color="D9B8B8" w:sz="4"/>
              <w:right w:val="single" w:color="D9B8B8" w:sz="4"/>
            </w:tcBorders>
            <w:tcMar>
              <w:top w:type="dxa" w:w="100"/>
              <w:left w:type="dxa" w:w="150"/>
              <w:bottom w:type="dxa" w:w="100"/>
              <w:right w:type="dxa" w:w="150"/>
            </w:tcMar>
            <w:vAlign w:val="center"/>
          </w:tcPr>
          <w:p>
            <w:r>
              <w:rPr>
                <w:rFonts w:ascii="Arial" w:cs="Arial" w:eastAsia="Arial" w:hAnsi="Arial"/>
                <w:color w:val="1A1A1A"/>
                <w:sz w:val="21"/>
                <w:szCs w:val="21"/>
              </w:rPr>
              <w:t xml:space="preserve">Mme Agathe Torti</w:t>
            </w:r>
          </w:p>
        </w:tc>
      </w:tr>
      <w:tr>
        <w:tc>
          <w:tcPr>
            <w:tcW w:type="dxa" w:w="3000"/>
            <w:tcBorders>
              <w:top w:val="single" w:color="D9B8B8" w:sz="4"/>
              <w:left w:val="single" w:color="D9B8B8" w:sz="4"/>
              <w:bottom w:val="single" w:color="D9B8B8" w:sz="4"/>
              <w:right w:val="single" w:color="D9B8B8" w:sz="4"/>
            </w:tcBorders>
            <w:shd w:fill="FBEAEA" w:val="clear"/>
            <w:tcMar>
              <w:top w:type="dxa" w:w="100"/>
              <w:left w:type="dxa" w:w="150"/>
              <w:bottom w:type="dxa" w:w="100"/>
              <w:right w:type="dxa" w:w="150"/>
            </w:tcMar>
            <w:vAlign w:val="center"/>
          </w:tcPr>
          <w:p>
            <w:r>
              <w:rPr>
                <w:rFonts w:ascii="Arial" w:cs="Arial" w:eastAsia="Arial" w:hAnsi="Arial"/>
                <w:b/>
                <w:bCs/>
                <w:color w:val="1A1A1A"/>
                <w:sz w:val="21"/>
                <w:szCs w:val="21"/>
              </w:rPr>
              <w:t xml:space="preserve">Période de stage</w:t>
            </w:r>
          </w:p>
        </w:tc>
        <w:tc>
          <w:tcPr>
            <w:tcW w:type="dxa" w:w="6360"/>
            <w:tcBorders>
              <w:top w:val="single" w:color="D9B8B8" w:sz="4"/>
              <w:left w:val="single" w:color="D9B8B8" w:sz="4"/>
              <w:bottom w:val="single" w:color="D9B8B8" w:sz="4"/>
              <w:right w:val="single" w:color="D9B8B8" w:sz="4"/>
            </w:tcBorders>
            <w:tcMar>
              <w:top w:type="dxa" w:w="100"/>
              <w:left w:type="dxa" w:w="150"/>
              <w:bottom w:type="dxa" w:w="100"/>
              <w:right w:type="dxa" w:w="150"/>
            </w:tcMar>
            <w:vAlign w:val="center"/>
          </w:tcPr>
          <w:p>
            <w:r>
              <w:rPr>
                <w:rFonts w:ascii="Arial" w:cs="Arial" w:eastAsia="Arial" w:hAnsi="Arial"/>
                <w:color w:val="1A1A1A"/>
                <w:sz w:val="21"/>
                <w:szCs w:val="21"/>
              </w:rPr>
              <w:t xml:space="preserve">Du 16/06/2026 au 29/08/2026</w:t>
            </w:r>
          </w:p>
        </w:tc>
      </w:tr>
      <w:tr>
        <w:tc>
          <w:tcPr>
            <w:tcW w:type="dxa" w:w="3000"/>
            <w:tcBorders>
              <w:top w:val="single" w:color="D9B8B8" w:sz="4"/>
              <w:left w:val="single" w:color="D9B8B8" w:sz="4"/>
              <w:bottom w:val="single" w:color="D9B8B8" w:sz="4"/>
              <w:right w:val="single" w:color="D9B8B8" w:sz="4"/>
            </w:tcBorders>
            <w:shd w:fill="FBEAEA" w:val="clear"/>
            <w:tcMar>
              <w:top w:type="dxa" w:w="100"/>
              <w:left w:type="dxa" w:w="150"/>
              <w:bottom w:type="dxa" w:w="100"/>
              <w:right w:type="dxa" w:w="150"/>
            </w:tcMar>
            <w:vAlign w:val="center"/>
          </w:tcPr>
          <w:p>
            <w:r>
              <w:rPr>
                <w:rFonts w:ascii="Arial" w:cs="Arial" w:eastAsia="Arial" w:hAnsi="Arial"/>
                <w:b/>
                <w:bCs/>
                <w:color w:val="1A1A1A"/>
                <w:sz w:val="21"/>
                <w:szCs w:val="21"/>
              </w:rPr>
              <w:t xml:space="preserve">Période de repos</w:t>
            </w:r>
          </w:p>
        </w:tc>
        <w:tc>
          <w:tcPr>
            <w:tcW w:type="dxa" w:w="6360"/>
            <w:tcBorders>
              <w:top w:val="single" w:color="D9B8B8" w:sz="4"/>
              <w:left w:val="single" w:color="D9B8B8" w:sz="4"/>
              <w:bottom w:val="single" w:color="D9B8B8" w:sz="4"/>
              <w:right w:val="single" w:color="D9B8B8" w:sz="4"/>
            </w:tcBorders>
            <w:tcMar>
              <w:top w:type="dxa" w:w="100"/>
              <w:left w:type="dxa" w:w="150"/>
              <w:bottom w:type="dxa" w:w="100"/>
              <w:right w:type="dxa" w:w="150"/>
            </w:tcMar>
            <w:vAlign w:val="center"/>
          </w:tcPr>
          <w:p>
            <w:r>
              <w:rPr>
                <w:rFonts w:ascii="Arial" w:cs="Arial" w:eastAsia="Arial" w:hAnsi="Arial"/>
                <w:color w:val="1A1A1A"/>
                <w:sz w:val="21"/>
                <w:szCs w:val="21"/>
              </w:rPr>
              <w:t xml:space="preserve">Du 05/08/2026 au 25/08/2026</w:t>
            </w:r>
          </w:p>
        </w:tc>
      </w:tr>
    </w:tbl>
    <w:p>
      <w:r>
        <w:br w:type="page"/>
      </w:r>
    </w:p>
    <w:p>
      <w:pPr>
        <w:pStyle w:val="Heading1"/>
      </w:pPr>
      <w:r>
        <w:t xml:space="preserve">Sommaire</w:t>
      </w:r>
    </w:p>
    <w:sdt>
      <w:sdtPr>
        <w:alias w:val="Sommaire"/>
      </w:sdtPr>
      <w:sdtContent>
        <w:p>
          <w:r>
            <w:fldChar w:fldCharType="begin" w:dirty="true"/>
            <w:instrText xml:space="preserve">TOC \h \o "1-3"</w:instrText>
            <w:fldChar w:fldCharType="separate"/>
          </w:r>
        </w:p>
        <w:p>
          <w:r>
            <w:fldChar w:fldCharType="end"/>
          </w:r>
        </w:p>
      </w:sdtContent>
    </w:sdt>
    <w:p>
      <w:r>
        <w:br w:type="page"/>
      </w:r>
    </w:p>
    <w:p>
      <w:pPr>
        <w:pStyle w:val="Heading1"/>
      </w:pPr>
      <w:r>
        <w:t xml:space="preserve">I. Présentation de l'entreprise et du contexte de stage</w:t>
      </w:r>
    </w:p>
    <w:p>
      <w:pPr>
        <w:pStyle w:val="Heading2"/>
      </w:pPr>
      <w:r>
        <w:t xml:space="preserve">1. L'entreprise Nesri Discount</w:t>
      </w:r>
    </w:p>
    <w:p>
      <w:pPr>
        <w:spacing w:after="200" w:line="300"/>
      </w:pPr>
      <w:r>
        <w:rPr>
          <w:rFonts w:ascii="Arial" w:cs="Arial" w:eastAsia="Arial" w:hAnsi="Arial"/>
          <w:i/>
          <w:iCs/>
          <w:color w:val="555555"/>
          <w:sz w:val="22"/>
          <w:szCs w:val="22"/>
        </w:rPr>
        <w:t xml:space="preserve">[ À compléter : présentation de Nesri Discount (activité, type de produits vendus - électroménager, taille de l'entreprise, fonctionnement de la boutique en ligne, historique, etc.) ]</w:t>
      </w:r>
    </w:p>
    <w:p>
      <w:pPr>
        <w:pStyle w:val="Heading2"/>
      </w:pPr>
      <w:r>
        <w:t xml:space="preserve">2. Contexte et objectifs du stage</w:t>
      </w:r>
    </w:p>
    <w:p>
      <w:pPr>
        <w:spacing w:after="200" w:line="300"/>
      </w:pPr>
      <w:r>
        <w:rPr>
          <w:rFonts w:ascii="Arial" w:cs="Arial" w:eastAsia="Arial" w:hAnsi="Arial"/>
          <w:i/>
          <w:iCs/>
          <w:color w:val="555555"/>
          <w:sz w:val="22"/>
          <w:szCs w:val="22"/>
        </w:rPr>
        <w:t xml:space="preserve">[ À compléter : pourquoi ce stage, dans quel cadre (BUT Science des données 2ème année), quels étaient les objectifs initiaux fixés avec M. Nesri et Mme Torti. ]</w:t>
      </w:r>
    </w:p>
    <w:p>
      <w:pPr>
        <w:pStyle w:val="Heading2"/>
      </w:pPr>
      <w:r>
        <w:t xml:space="preserve">3. Environnement de travail et outils</w:t>
      </w:r>
    </w:p>
    <w:p>
      <w:pPr>
        <w:spacing w:after="200" w:line="300"/>
      </w:pPr>
      <w:r>
        <w:rPr>
          <w:rFonts w:ascii="Arial" w:cs="Arial" w:eastAsia="Arial" w:hAnsi="Arial"/>
          <w:i/>
          <w:iCs/>
          <w:color w:val="555555"/>
          <w:sz w:val="22"/>
          <w:szCs w:val="22"/>
        </w:rPr>
        <w:t xml:space="preserve">[ À compléter : outils utilisés (Python, Jupyter Notebook, pandas, Excel, Shopify pour l'export des commandes, etc.). ]</w:t>
      </w:r>
    </w:p>
    <w:p>
      <w:r>
        <w:br w:type="page"/>
      </w:r>
    </w:p>
    <w:p>
      <w:pPr>
        <w:pStyle w:val="Heading1"/>
      </w:pPr>
      <w:r>
        <w:t xml:space="preserve">II. Missions confiées</w:t>
      </w:r>
    </w:p>
    <w:p>
      <w:pPr>
        <w:pStyle w:val="Heading2"/>
      </w:pPr>
      <w:r>
        <w:t xml:space="preserve">Mission 1 : Nettoyage et analyse des données de commandes</w:t>
      </w:r>
    </w:p>
    <w:p>
      <w:pPr>
        <w:spacing w:after="160" w:line="300"/>
      </w:pPr>
      <w:r>
        <w:rPr>
          <w:rFonts w:ascii="Arial" w:cs="Arial" w:eastAsia="Arial" w:hAnsi="Arial"/>
          <w:sz w:val="22"/>
          <w:szCs w:val="22"/>
        </w:rPr>
        <w:t xml:space="preserve">L'objectif de cette première mission est de construire un tableau de bord de pilotage permettant de suivre les indicateurs clés de l'activité de la boutique en ligne (chiffre d'affaires, taux de remboursement, produits les plus vendus, etc.), à partir des exports de commandes issus de la plateforme Shopify.</w:t>
      </w:r>
    </w:p>
    <w:p>
      <w:pPr>
        <w:spacing w:after="200" w:line="300"/>
      </w:pPr>
      <w:r>
        <w:rPr>
          <w:rFonts w:ascii="Arial" w:cs="Arial" w:eastAsia="Arial" w:hAnsi="Arial"/>
          <w:i/>
          <w:iCs/>
          <w:color w:val="555555"/>
          <w:sz w:val="22"/>
          <w:szCs w:val="22"/>
        </w:rPr>
        <w:t xml:space="preserve">[ À compléter au fil du stage : détail des sous-objectifs de la mission 1. ]</w:t>
      </w:r>
    </w:p>
    <w:p>
      <w:pPr>
        <w:pStyle w:val="Heading2"/>
      </w:pPr>
      <w:r>
        <w:t xml:space="preserve">Mission 2 : Collecte et analyse des avis clients Google</w:t>
      </w:r>
    </w:p>
    <w:p>
      <w:pPr>
        <w:spacing w:after="160" w:line="300"/>
      </w:pPr>
      <w:r>
        <w:rPr>
          <w:rFonts w:ascii="Arial" w:cs="Arial" w:eastAsia="Arial" w:hAnsi="Arial"/>
          <w:sz w:val="22"/>
          <w:szCs w:val="22"/>
        </w:rPr>
        <w:t xml:space="preserve">La deuxième mission consiste à récolter les avis Google laissés par les clients de Nesri Discount, à les trier entre avis positifs et négatifs, puis à analyser leur contenu pour identifier des pistes d'amélioration, notamment au niveau marketing et de la satisfaction client.</w:t>
      </w:r>
    </w:p>
    <w:p>
      <w:pPr>
        <w:spacing w:after="200" w:line="300"/>
      </w:pPr>
      <w:r>
        <w:rPr>
          <w:rFonts w:ascii="Arial" w:cs="Arial" w:eastAsia="Arial" w:hAnsi="Arial"/>
          <w:i/>
          <w:iCs/>
          <w:color w:val="555555"/>
          <w:sz w:val="22"/>
          <w:szCs w:val="22"/>
        </w:rPr>
        <w:t xml:space="preserve">[ À compléter au fil du stage : détail des sous-objectifs de la mission 2. ]</w:t>
      </w:r>
    </w:p>
    <w:p>
      <w:pPr>
        <w:spacing w:after="160" w:line="300"/>
      </w:pPr>
      <w:r>
        <w:rPr>
          <w:rFonts w:ascii="Arial" w:cs="Arial" w:eastAsia="Arial" w:hAnsi="Arial"/>
          <w:sz w:val="22"/>
          <w:szCs w:val="22"/>
        </w:rPr>
        <w:t xml:space="preserve">Les deux missions sont menées en parallèle et de façon complémentaire : le volume de commandes disponible étant très restreint, les avis clients permettent d'apporter un éclairage qualitatif qui vient compléter les indicateurs quantitatifs du tableau de bord.</w:t>
      </w:r>
    </w:p>
    <w:p>
      <w:r>
        <w:br w:type="page"/>
      </w:r>
    </w:p>
    <w:p>
      <w:pPr>
        <w:pStyle w:val="Heading1"/>
      </w:pPr>
      <w:r>
        <w:t xml:space="preserve">III. Journal de bord</w:t>
      </w:r>
    </w:p>
    <w:p>
      <w:pPr>
        <w:spacing w:after="160" w:line="300"/>
      </w:pPr>
      <w:r>
        <w:rPr>
          <w:rFonts w:ascii="Arial" w:cs="Arial" w:eastAsia="Arial" w:hAnsi="Arial"/>
          <w:sz w:val="22"/>
          <w:szCs w:val="22"/>
        </w:rPr>
        <w:t xml:space="preserve">Cette section retrace, jour après jour, le déroulement du stage : le travail réalisé, les problèmes rencontrés, les décisions prises et les solutions apportées.</w:t>
      </w:r>
    </w:p>
    <w:p>
      <w:pPr>
        <w:pStyle w:val="Heading2"/>
      </w:pPr>
      <w:r>
        <w:t xml:space="preserve">Journée du 18 juin 2026</w:t>
      </w:r>
    </w:p>
    <w:p>
      <w:pPr>
        <w:pStyle w:val="Heading3"/>
      </w:pPr>
      <w:r>
        <w:t xml:space="preserve">Contexte de la journée</w:t>
      </w:r>
    </w:p>
    <w:p>
      <w:pPr>
        <w:spacing w:after="160" w:line="300"/>
      </w:pPr>
      <w:r>
        <w:rPr>
          <w:rFonts w:ascii="Arial" w:cs="Arial" w:eastAsia="Arial" w:hAnsi="Arial"/>
          <w:sz w:val="22"/>
          <w:szCs w:val="22"/>
        </w:rPr>
        <w:t xml:space="preserve">La veille, j'avais commencé à produire les premières analyses de la Mission 1 ainsi qu'une première version du tableau de bord Excel, à partir du fichier de commandes nettoyé jusqu'alors (commandes_propres_v2.xlsx, 23 lignes). Ce matin, j'ai eu un point oral avec M. Nesri pour faire le point sur l'avancement du tableau de bord. Cet échange a révélé un problème important dans le nettoyage des données réalisé jusque-là, qu'il a fallu corriger avant de pouvoir poursuivre les analyses.</w:t>
      </w:r>
    </w:p>
    <w:p>
      <w:pPr>
        <w:pStyle w:val="Heading3"/>
      </w:pPr>
      <w:r>
        <w:t xml:space="preserve">Problème identifié lors du point oral avec M. Nesri</w:t>
      </w:r>
    </w:p>
    <w:p>
      <w:pPr>
        <w:spacing w:after="160" w:line="300"/>
      </w:pPr>
      <w:r>
        <w:rPr>
          <w:rFonts w:ascii="Arial" w:cs="Arial" w:eastAsia="Arial" w:hAnsi="Arial"/>
          <w:sz w:val="22"/>
          <w:szCs w:val="22"/>
        </w:rPr>
        <w:t xml:space="preserve">M. Nesri m'a expliqué deux points essentiels que les données brutes ne permettaient pas de déduire seules :</w:t>
      </w:r>
    </w:p>
    <w:p>
      <w:pPr>
        <w:pStyle w:val="ListParagraph"/>
        <w:numPr>
          <w:ilvl w:val="0"/>
          <w:numId w:val="2"/>
        </w:numPr>
        <w:spacing w:after="100" w:line="300"/>
      </w:pPr>
      <w:r>
        <w:rPr>
          <w:rFonts w:ascii="Arial" w:cs="Arial" w:eastAsia="Arial" w:hAnsi="Arial"/>
          <w:sz w:val="22"/>
          <w:szCs w:val="22"/>
        </w:rPr>
        <w:t xml:space="preserve">Toutes les commandes numérotées avant #1035 sont en réalité des commandes de test qu'il a passées lui-même pour vérifier le bon fonctionnement du site, et non de véritables ventes.</w:t>
      </w:r>
    </w:p>
    <w:p>
      <w:pPr>
        <w:pStyle w:val="ListParagraph"/>
        <w:numPr>
          <w:ilvl w:val="0"/>
          <w:numId w:val="2"/>
        </w:numPr>
        <w:spacing w:after="100" w:line="300"/>
      </w:pPr>
      <w:r>
        <w:rPr>
          <w:rFonts w:ascii="Arial" w:cs="Arial" w:eastAsia="Arial" w:hAnsi="Arial"/>
          <w:sz w:val="22"/>
          <w:szCs w:val="22"/>
        </w:rPr>
        <w:t xml:space="preserve">Les remboursements visibles dans les données ne sont pas liés à un problème de qualité produit, mais à des ruptures de stock : certains articles commandés n'étaient plus disponibles, ce qui l'a obligé à rembourser les clients concernés.</w:t>
      </w:r>
    </w:p>
    <w:p>
      <w:pPr>
        <w:spacing w:after="160" w:line="300"/>
      </w:pPr>
      <w:r>
        <w:rPr>
          <w:rFonts w:ascii="Arial" w:cs="Arial" w:eastAsia="Arial" w:hAnsi="Arial"/>
          <w:sz w:val="22"/>
          <w:szCs w:val="22"/>
        </w:rPr>
        <w:t xml:space="preserve">Ces deux informations sont importantes car elles ne sont pas visibles dans le fichier de données brut : seul un échange direct avec la personne qui connaît le fonctionnement réel de la boutique pouvait les révéler. Cela illustre bien la nécessité, en science des données, de toujours confronter un jeu de données à la connaissance métier de la personne concernée avant d'en tirer des conclusions, plutôt que de se fier uniquement à des règles de filtrage statistiques.</w:t>
      </w:r>
    </w:p>
    <w:p>
      <w:pPr>
        <w:pStyle w:val="Heading3"/>
      </w:pPr>
      <w:r>
        <w:t xml:space="preserve">Ampleur réelle du problème : preuve chiffrée</w:t>
      </w:r>
    </w:p>
    <w:p>
      <w:pPr>
        <w:spacing w:after="160" w:line="300"/>
      </w:pPr>
      <w:r>
        <w:rPr>
          <w:rFonts w:ascii="Arial" w:cs="Arial" w:eastAsia="Arial" w:hAnsi="Arial"/>
          <w:sz w:val="22"/>
          <w:szCs w:val="22"/>
        </w:rPr>
        <w:t xml:space="preserve">En reprenant le fichier brut des commandes (orders_export_1.csv, 58 lignes), j'ai vérifié que l'ancienne méthode de nettoyage, qui reposait sur trois filtres distincts (suppression des commandes au code promo TEST, suppression des commandes à 0€, puis suppression des commandes numérotées avant #1035), ne couvrait pas correctement le périmètre indiqué par M. Nesri :</w:t>
      </w:r>
    </w:p>
    <w:p>
      <w:pPr>
        <w:pStyle w:val="ListParagraph"/>
        <w:numPr>
          <w:ilvl w:val="0"/>
          <w:numId w:val="3"/>
        </w:numPr>
        <w:spacing w:after="100" w:line="300"/>
      </w:pPr>
      <w:r>
        <w:rPr>
          <w:rFonts w:ascii="Arial" w:cs="Arial" w:eastAsia="Arial" w:hAnsi="Arial"/>
          <w:sz w:val="22"/>
          <w:szCs w:val="22"/>
        </w:rPr>
        <w:t xml:space="preserve">23 commandes portaient le code promo TEST, et étaient toutes à 0€ : ces deux anciens filtres ciblaient en réalité les mêmes lignes, sans le savoir.</w:t>
      </w:r>
    </w:p>
    <w:p>
      <w:pPr>
        <w:pStyle w:val="ListParagraph"/>
        <w:numPr>
          <w:ilvl w:val="0"/>
          <w:numId w:val="3"/>
        </w:numPr>
        <w:spacing w:after="100" w:line="300"/>
      </w:pPr>
      <w:r>
        <w:rPr>
          <w:rFonts w:ascii="Arial" w:cs="Arial" w:eastAsia="Arial" w:hAnsi="Arial"/>
          <w:sz w:val="22"/>
          <w:szCs w:val="22"/>
        </w:rPr>
        <w:t xml:space="preserve">12 commandes supplémentaires, numérotées avant #1035, avaient un montant non nul (sans code TEST et sans être à 0€) et n'auraient donc pas été détectées comme des tests par l'ancienne méthode. Parmi elles, la commande #1028 d'un montant de 16 355 €.</w:t>
      </w:r>
    </w:p>
    <w:p>
      <w:pPr>
        <w:spacing w:after="160" w:line="300"/>
      </w:pPr>
      <w:r>
        <w:rPr>
          <w:rFonts w:ascii="Arial" w:cs="Arial" w:eastAsia="Arial" w:hAnsi="Arial"/>
          <w:sz w:val="22"/>
          <w:szCs w:val="22"/>
        </w:rPr>
        <w:t xml:space="preserve">Cette dernière commande explique en grande partie l'écart observé entre le tableau de bord produit la veille et la réalité de l'activité de la boutique : elle apparaissait dans le graphique « Top 5 produits » du tableau de bord d'hier avec exactement ce même montant, et avait fortement gonflé le chiffre d'affaires affiché sur le mois de mars 2026 (plus de 25 000 € affichés sur ce seul mois, contre un montant réel de commandes valides bien inférieur une fois les tests retirés). Le chiffre d'affaires total encaissé affiché hier (28 344 €) était ainsi significativement surestimé.</w:t>
      </w:r>
    </w:p>
    <w:p>
      <w:pPr>
        <w:spacing w:after="160" w:line="300"/>
      </w:pPr>
      <w:r>
        <w:rPr>
          <w:rFonts w:ascii="Arial" w:cs="Arial" w:eastAsia="Arial" w:hAnsi="Arial"/>
          <w:sz w:val="22"/>
          <w:szCs w:val="22"/>
        </w:rPr>
        <w:t xml:space="preserve">Ce constat confirme que filtrer uniquement sur un code promo ou un montant à 0€ n'est pas suffisant pour exclure des commandes de test : seule l'information terrain donnée par M. Nesri (le seuil de numérotation #1035) permet d'obtenir un périmètre de données fiable.</w:t>
      </w:r>
    </w:p>
    <w:p>
      <w:pPr>
        <w:pStyle w:val="Heading3"/>
      </w:pPr>
      <w:r>
        <w:t xml:space="preserve">Travail réalisé : reprise du nettoyage des données</w:t>
      </w:r>
    </w:p>
    <w:p>
      <w:pPr>
        <w:spacing w:after="160" w:line="300"/>
      </w:pPr>
      <w:r>
        <w:rPr>
          <w:rFonts w:ascii="Arial" w:cs="Arial" w:eastAsia="Arial" w:hAnsi="Arial"/>
          <w:sz w:val="22"/>
          <w:szCs w:val="22"/>
        </w:rPr>
        <w:t xml:space="preserve">J'ai donc repris entièrement le script de nettoyage en Python (pandas), à partir du fichier brut, en remplaçant les trois anciens filtres par un filtre unique et clairement justifié sur le numéro de commande. Les étapes suivies sont les suivantes :</w:t>
      </w:r>
    </w:p>
    <w:p>
      <w:pPr>
        <w:pStyle w:val="ListParagraph"/>
        <w:numPr>
          <w:ilvl w:val="0"/>
          <w:numId w:val="4"/>
        </w:numPr>
        <w:spacing w:after="100" w:line="300"/>
      </w:pPr>
      <w:r>
        <w:rPr>
          <w:rFonts w:ascii="Arial" w:cs="Arial" w:eastAsia="Arial" w:hAnsi="Arial"/>
          <w:sz w:val="22"/>
          <w:szCs w:val="22"/>
        </w:rPr>
        <w:t xml:space="preserve">Chargement du fichier brut orders_export_1.csv (58 lignes).</w:t>
      </w:r>
    </w:p>
    <w:p>
      <w:pPr>
        <w:pStyle w:val="ListParagraph"/>
        <w:numPr>
          <w:ilvl w:val="0"/>
          <w:numId w:val="4"/>
        </w:numPr>
        <w:spacing w:after="100" w:line="300"/>
      </w:pPr>
      <w:r>
        <w:rPr>
          <w:rFonts w:ascii="Arial" w:cs="Arial" w:eastAsia="Arial" w:hAnsi="Arial"/>
          <w:sz w:val="22"/>
          <w:szCs w:val="22"/>
        </w:rPr>
        <w:t xml:space="preserve">Sélection des colonnes utiles à l'analyse (Name, Total, Financial Status, Created at, Lineitem name, Lineitem quantity, Discount Code).</w:t>
      </w:r>
    </w:p>
    <w:p>
      <w:pPr>
        <w:pStyle w:val="ListParagraph"/>
        <w:numPr>
          <w:ilvl w:val="0"/>
          <w:numId w:val="4"/>
        </w:numPr>
        <w:spacing w:after="100" w:line="300"/>
      </w:pPr>
      <w:r>
        <w:rPr>
          <w:rFonts w:ascii="Arial" w:cs="Arial" w:eastAsia="Arial" w:hAnsi="Arial"/>
          <w:sz w:val="22"/>
          <w:szCs w:val="22"/>
        </w:rPr>
        <w:t xml:space="preserve">Conversion de la colonne de date (Created at) et création d'une colonne Mois au format AAAA-MM.</w:t>
      </w:r>
    </w:p>
    <w:p>
      <w:pPr>
        <w:pStyle w:val="ListParagraph"/>
        <w:numPr>
          <w:ilvl w:val="0"/>
          <w:numId w:val="4"/>
        </w:numPr>
        <w:spacing w:after="100" w:line="300"/>
      </w:pPr>
      <w:r>
        <w:rPr>
          <w:rFonts w:ascii="Arial" w:cs="Arial" w:eastAsia="Arial" w:hAnsi="Arial"/>
          <w:sz w:val="22"/>
          <w:szCs w:val="22"/>
        </w:rPr>
        <w:t xml:space="preserve">Application du filtre unique : conservation uniquement des commandes dont le numéro est supérieur ou égal à 1035, soit la suppression de 35 commandes de test (58 lignes restantes : 23).</w:t>
      </w:r>
    </w:p>
    <w:p>
      <w:pPr>
        <w:pStyle w:val="ListParagraph"/>
        <w:numPr>
          <w:ilvl w:val="0"/>
          <w:numId w:val="4"/>
        </w:numPr>
        <w:spacing w:after="100" w:line="300"/>
      </w:pPr>
      <w:r>
        <w:rPr>
          <w:rFonts w:ascii="Arial" w:cs="Arial" w:eastAsia="Arial" w:hAnsi="Arial"/>
          <w:sz w:val="22"/>
          <w:szCs w:val="22"/>
        </w:rPr>
        <w:t xml:space="preserve">Traduction des statuts de paiement Shopify en français (paid → Payée, refunded → Remboursée, partially_refunded → Partiellement remboursée).</w:t>
      </w:r>
    </w:p>
    <w:p>
      <w:pPr>
        <w:pStyle w:val="ListParagraph"/>
        <w:numPr>
          <w:ilvl w:val="0"/>
          <w:numId w:val="4"/>
        </w:numPr>
        <w:spacing w:after="100" w:line="300"/>
      </w:pPr>
      <w:r>
        <w:rPr>
          <w:rFonts w:ascii="Arial" w:cs="Arial" w:eastAsia="Arial" w:hAnsi="Arial"/>
          <w:sz w:val="22"/>
          <w:szCs w:val="22"/>
        </w:rPr>
        <w:t xml:space="preserve">Sélection et renommage des colonnes finales (notamment Lineitem name → Produit et Lineitem quantity → Quantité, en vue du calcul du top produits).</w:t>
      </w:r>
    </w:p>
    <w:p>
      <w:pPr>
        <w:pStyle w:val="ListParagraph"/>
        <w:numPr>
          <w:ilvl w:val="0"/>
          <w:numId w:val="4"/>
        </w:numPr>
        <w:spacing w:after="100" w:line="300"/>
      </w:pPr>
      <w:r>
        <w:rPr>
          <w:rFonts w:ascii="Arial" w:cs="Arial" w:eastAsia="Arial" w:hAnsi="Arial"/>
          <w:sz w:val="22"/>
          <w:szCs w:val="22"/>
        </w:rPr>
        <w:t xml:space="preserve">Sauvegarde du fichier propre sous un nouveau nom, commandes_propres_v3.xlsx, afin de conserver une trace de la version précédente et de garantir la traçabilité du travail.</w:t>
      </w:r>
    </w:p>
    <w:p>
      <w:pPr>
        <w:spacing w:after="160" w:line="300"/>
      </w:pPr>
      <w:r>
        <w:rPr>
          <w:rFonts w:ascii="Arial" w:cs="Arial" w:eastAsia="Arial" w:hAnsi="Arial"/>
          <w:sz w:val="22"/>
          <w:szCs w:val="22"/>
        </w:rPr>
        <w:t xml:space="preserve">Le fichier obtenu contient 23 commandes, soit le même nombre de lignes que l'ancien fichier commandes_propres_v2.xlsx. Le périmètre de commandes concerné (de #1035 à #1057) était donc déjà globalement correct dans la version précédente, mais la méthode de filtrage employée pour y arriver reposait sur une combinaison de critères qui se recoupaient sans le démontrer clairement, et qui aurait laissé passer des commandes de test dans un fichier brut légèrement différent. La nouvelle méthode, avec un filtre unique sur le numéro de commande, est plus simple, plus robuste et directement justifiable auprès de M. Nesri.</w:t>
      </w:r>
    </w:p>
    <w:p>
      <w:pPr>
        <w:pStyle w:val="Heading3"/>
      </w:pPr>
      <w:r>
        <w:t xml:space="preserve">Problème technique rencontré et résolu</w:t>
      </w:r>
    </w:p>
    <w:p>
      <w:pPr>
        <w:spacing w:after="160" w:line="300"/>
      </w:pPr>
      <w:r>
        <w:rPr>
          <w:rFonts w:ascii="Arial" w:cs="Arial" w:eastAsia="Arial" w:hAnsi="Arial"/>
          <w:sz w:val="22"/>
          <w:szCs w:val="22"/>
        </w:rPr>
        <w:t xml:space="preserve">Lors de la sauvegarde du fichier nettoyé au format Excel, une erreur est survenue : ValueError: Excel does not support datetimes with timezones. La colonne Created at avait été convertie en heure universelle (UTC) à l'étape de nettoyage des dates, ce qui lui ajoute une information de fuseau horaire que le format Excel ne sait pas gérer. La correction a consisté à retirer cette information de fuseau horaire avec la méthode dt.tz_localize(None), une fois que celle-ci n'était plus nécessaire puisque le mois avait déjà été extrait dans une colonne séparée.</w:t>
      </w:r>
    </w:p>
    <w:p>
      <w:pPr>
        <w:pStyle w:val="Heading3"/>
      </w:pPr>
      <w:r>
        <w:t xml:space="preserve">Calcul des indicateurs clés sur les données corrigées</w:t>
      </w:r>
    </w:p>
    <w:p>
      <w:pPr>
        <w:spacing w:after="160" w:line="300"/>
      </w:pPr>
      <w:r>
        <w:rPr>
          <w:rFonts w:ascii="Arial" w:cs="Arial" w:eastAsia="Arial" w:hAnsi="Arial"/>
          <w:sz w:val="22"/>
          <w:szCs w:val="22"/>
        </w:rPr>
        <w:t xml:space="preserve">Une fois les 23 commandes propres obtenues, j'ai calculé les indicateurs de pilotage dans un notebook d'analyse dédié (Mission1_Analyse_Dashboard.ipynb), séparé du notebook de nettoyage afin de garder une organisation claire entre les deux étapes du travail :</w:t>
      </w:r>
    </w:p>
    <w:p>
      <w:pPr>
        <w:pStyle w:val="ListParagraph"/>
        <w:numPr>
          <w:ilvl w:val="0"/>
          <w:numId w:val="3"/>
        </w:numPr>
        <w:spacing w:after="100" w:line="300"/>
      </w:pPr>
      <w:r>
        <w:rPr>
          <w:rFonts w:ascii="Arial" w:cs="Arial" w:eastAsia="Arial" w:hAnsi="Arial"/>
          <w:sz w:val="22"/>
          <w:szCs w:val="22"/>
        </w:rPr>
        <w:t xml:space="preserve">Chiffre d'affaires brut (toutes commandes confondues, y compris remboursées) : 8 556,98 €.</w:t>
      </w:r>
    </w:p>
    <w:p>
      <w:pPr>
        <w:pStyle w:val="ListParagraph"/>
        <w:numPr>
          <w:ilvl w:val="0"/>
          <w:numId w:val="3"/>
        </w:numPr>
        <w:spacing w:after="100" w:line="300"/>
      </w:pPr>
      <w:r>
        <w:rPr>
          <w:rFonts w:ascii="Arial" w:cs="Arial" w:eastAsia="Arial" w:hAnsi="Arial"/>
          <w:sz w:val="22"/>
          <w:szCs w:val="22"/>
        </w:rPr>
        <w:t xml:space="preserve">Chiffre d'affaires réel encaissé (commandes au statut Payée uniquement) : 3 446,09 €, sur 13 commandes.</w:t>
      </w:r>
    </w:p>
    <w:p>
      <w:pPr>
        <w:pStyle w:val="ListParagraph"/>
        <w:numPr>
          <w:ilvl w:val="0"/>
          <w:numId w:val="3"/>
        </w:numPr>
        <w:spacing w:after="100" w:line="300"/>
      </w:pPr>
      <w:r>
        <w:rPr>
          <w:rFonts w:ascii="Arial" w:cs="Arial" w:eastAsia="Arial" w:hAnsi="Arial"/>
          <w:sz w:val="22"/>
          <w:szCs w:val="22"/>
        </w:rPr>
        <w:t xml:space="preserve">Panier moyen : 265,08 € ; panier médian : 217,33 €. Les deux valeurs sont assez proches (environ 22 % d'écart), ce qui indique l'absence d'une commande extrême parmi les commandes payées, contrairement à la situation d'avant correction.</w:t>
      </w:r>
    </w:p>
    <w:p>
      <w:pPr>
        <w:spacing w:after="160" w:line="300"/>
      </w:pPr>
      <w:r>
        <w:rPr>
          <w:rFonts w:ascii="Arial" w:cs="Arial" w:eastAsia="Arial" w:hAnsi="Arial"/>
          <w:sz w:val="22"/>
          <w:szCs w:val="22"/>
        </w:rPr>
        <w:t xml:space="preserve">La comparaison entre le chiffre d'affaires brut d'hier (28 344 €, avec les commandes de test) et le chiffre d'affaires brut recalculé aujourd'hui sur les bonnes données (8 557 €) illustre concrètement l'ampleur de l'erreur initiale : plus de trois fois moins, uniquement en retirant les commandes de test.</w:t>
      </w:r>
    </w:p>
    <w:p>
      <w:pPr>
        <w:pStyle w:val="Heading3"/>
      </w:pPr>
      <w:r>
        <w:t xml:space="preserve">Incident technique : colonne Refunded Amount manquante</w:t>
      </w:r>
    </w:p>
    <w:p>
      <w:pPr>
        <w:spacing w:after="160" w:line="300"/>
      </w:pPr>
      <w:r>
        <w:rPr>
          <w:rFonts w:ascii="Arial" w:cs="Arial" w:eastAsia="Arial" w:hAnsi="Arial"/>
          <w:sz w:val="22"/>
          <w:szCs w:val="22"/>
        </w:rPr>
        <w:t xml:space="preserve">En voulant calculer précisément le montant remboursé par commande, je me suis rendu compte que la sélection des colonnes utiles, faite lors du nettoyage, ne contenait pas la colonne Refunded Amount du fichier brut. Une vérification a montré que pour les commandes intégralement remboursées, ce montant est égal au Total de la commande, mais que pour la commande partiellement remboursée (#1037), il existe un léger écart (96,00 € remboursés contre 96,60 € de Total, probablement les frais de port conservés). Il a donc fallu reprendre le notebook de nettoyage pour ajouter cette colonne dès la sélection initiale, puis refaire toute la chaîne de traitement jusqu'à la sauvegarde.</w:t>
      </w:r>
    </w:p>
    <w:p>
      <w:pPr>
        <w:spacing w:after="160" w:line="300"/>
      </w:pPr>
      <w:r>
        <w:rPr>
          <w:rFonts w:ascii="Arial" w:cs="Arial" w:eastAsia="Arial" w:hAnsi="Arial"/>
          <w:sz w:val="22"/>
          <w:szCs w:val="22"/>
        </w:rPr>
        <w:t xml:space="preserve">Cette correction a révélé un problème d'organisation dans le notebook de nettoyage : plusieurs cellules dupliquées ou mal ordonnées (issues de manipulations de vérification successives) provoquaient des erreurs lors d'une exécution complète (Restart Kernel and Run All Cells), la variable df_final n'étant pas reconstruite correctement. Plutôt que de corriger cellule par cellule au risque d'introduire de nouvelles incohérences, j'ai choisi de vider entièrement le notebook et de le reconstruire en sept cellules linéaires, chacune validée individuellement avant de passer à la suivante. Cet épisode m'a permis de bien comprendre une règle importante de Jupyter Notebook : l'ordre d'exécution réel des cellules (visible entre crochets, In[n]) ne correspond pas toujours à leur ordre d'affichage à l'écran, et seul un redémarrage complet du noyau permet de vérifier qu'un notebook fonctionne réellement de bout en bout.</w:t>
      </w:r>
    </w:p>
    <w:p>
      <w:pPr>
        <w:pStyle w:val="Heading3"/>
      </w:pPr>
      <w:r>
        <w:t xml:space="preserve">Analyse des remboursements par produit et par marque</w:t>
      </w:r>
    </w:p>
    <w:p>
      <w:pPr>
        <w:spacing w:after="160" w:line="300"/>
      </w:pPr>
      <w:r>
        <w:rPr>
          <w:rFonts w:ascii="Arial" w:cs="Arial" w:eastAsia="Arial" w:hAnsi="Arial"/>
          <w:sz w:val="22"/>
          <w:szCs w:val="22"/>
        </w:rPr>
        <w:t xml:space="preserve">Avec la colonne Refunded Amount correctement intégrée, j'ai calculé que 5 110,29 € ont été remboursés au total sur 10 commandes (9 remboursements complets et 1 partiel), soit environ 1,5 fois le montant réellement encaissé. En détaillant par produit, plusieurs des commandes remboursées concernaient la marque Dometic. Un regroupement par marque a confirmé ce constat : 3 376,03 €, soit 66,1 % du montant total remboursé, concerne des produits Dometic, répartis sur 6 commandes différentes.</w:t>
      </w:r>
    </w:p>
    <w:p>
      <w:pPr>
        <w:spacing w:after="160" w:line="300"/>
      </w:pPr>
      <w:r>
        <w:rPr>
          <w:rFonts w:ascii="Arial" w:cs="Arial" w:eastAsia="Arial" w:hAnsi="Arial"/>
          <w:sz w:val="22"/>
          <w:szCs w:val="22"/>
        </w:rPr>
        <w:t xml:space="preserve">Conformément à l'information donnée par M. Nesri (remboursements liés à des ruptures de stock et non à la qualité des produits), j'ai formulé ce constat comme une piste à vérifier plutôt que comme une conclusion établie : la concentration des remboursements sur la marque Dometic pourrait indiquer une difficulté d'approvisionnement particulière chez ce fournisseur, à confirmer auprès de M. Nesri avant d'en tirer une recommandation définitive.</w:t>
      </w:r>
    </w:p>
    <w:p>
      <w:pPr>
        <w:pStyle w:val="Heading3"/>
      </w:pPr>
      <w:r>
        <w:t xml:space="preserve">Chiffre d'affaires par mois, ventes par produit et statistiques descriptives</w:t>
      </w:r>
    </w:p>
    <w:p>
      <w:pPr>
        <w:spacing w:after="160" w:line="300"/>
      </w:pPr>
      <w:r>
        <w:rPr>
          <w:rFonts w:ascii="Arial" w:cs="Arial" w:eastAsia="Arial" w:hAnsi="Arial"/>
          <w:sz w:val="22"/>
          <w:szCs w:val="22"/>
        </w:rPr>
        <w:t xml:space="preserve">J'ai ensuite calculé le chiffre d'affaires encaissé mois par mois (mars : 418,80 € sur 1 commande ; avril : 1 187,69 € sur 5 commandes ; mai : 1 217,20 € sur 5 commandes ; juin : 622,40 € sur 2 commandes), ainsi que le détail des ventes par produit. Avec seulement 13 commandes payées, ce classement par produit correspond en réalité à la quasi-totalité des ventes plutôt qu'à une sélection des meilleures ventes, ce qui limite sa portée en tant que véritable « top produits » tant que le volume de commandes reste aussi faible.</w:t>
      </w:r>
    </w:p>
    <w:p>
      <w:pPr>
        <w:spacing w:after="160" w:line="300"/>
      </w:pPr>
      <w:r>
        <w:rPr>
          <w:rFonts w:ascii="Arial" w:cs="Arial" w:eastAsia="Arial" w:hAnsi="Arial"/>
          <w:sz w:val="22"/>
          <w:szCs w:val="22"/>
        </w:rPr>
        <w:t xml:space="preserve">J'ai complété ces indicateurs par des statistiques descriptives sur les montants des commandes payées : moyenne (265,08 €), écart-type (188,23 €), médiane (217,33 €), quartiles (1er quartile 114 €, 3e quartile 418,80 €), minimum (52,60 €) et maximum (569,80 €). Comme anticipé, l'écart-type est élevé par rapport à la moyenne, ce qui confirme la forte variabilité des montants de commande sur un aussi petit échantillon.</w:t>
      </w:r>
    </w:p>
    <w:p>
      <w:pPr>
        <w:pStyle w:val="Heading3"/>
      </w:pPr>
      <w:r>
        <w:t xml:space="preserve">Construction du tableau de bord Excel</w:t>
      </w:r>
    </w:p>
    <w:p>
      <w:pPr>
        <w:spacing w:after="160" w:line="300"/>
      </w:pPr>
      <w:r>
        <w:rPr>
          <w:rFonts w:ascii="Arial" w:cs="Arial" w:eastAsia="Arial" w:hAnsi="Arial"/>
          <w:sz w:val="22"/>
          <w:szCs w:val="22"/>
        </w:rPr>
        <w:t xml:space="preserve">À partir de l'ensemble de ces calculs, exportés depuis Python vers plusieurs feuilles Excel (Données brutes, CA par mois, Remboursements, Top produits, Statistiques), j'ai construit des tableaux croisés dynamiques puis une première version visuelle du tableau de bord. Pour chaque graphique, j'ai ajouté trois niveaux de commentaire : une description neutre de ce que montre le graphique, une explication pédagogique du chiffre pour une personne non familière de l'analyse de données, et une recommandation orientée décision destinée à M. Nesri. Cette structure en trois niveaux vise à rendre le tableau de bord directement exploitable pour la prise de décision, et pas seulement descriptif.</w:t>
      </w:r>
    </w:p>
    <w:p>
      <w:pPr>
        <w:pStyle w:val="Heading3"/>
      </w:pPr>
      <w:r>
        <w:t xml:space="preserve">Difficulté de fond : la taille très réduite de l'échantillon</w:t>
      </w:r>
    </w:p>
    <w:p>
      <w:pPr>
        <w:spacing w:after="160" w:line="300"/>
      </w:pPr>
      <w:r>
        <w:rPr>
          <w:rFonts w:ascii="Arial" w:cs="Arial" w:eastAsia="Arial" w:hAnsi="Arial"/>
          <w:sz w:val="22"/>
          <w:szCs w:val="22"/>
        </w:rPr>
        <w:t xml:space="preserve">Cette journée a aussi confirmé une limite importante du jeu de données disponible : une fois les commandes de test retirées, il ne reste que 23 commandes valides sur la période, dont seulement 13 payées. C'est un échantillon très faible pour un tableau de bord de pilotage. Les statistiques calculées (écart-type, quartiles) restent mathématiquement correctes, mais doivent être présentées avec prudence : sur un échantillon aussi petit, une seule commande inhabituelle peut faire varier fortement ces indicateurs. Cette observation constitue en elle-même un constat utile à transmettre à M. Nesri, puisqu'elle révèle un faible volume d'activité en ligne sur la période observée.</w:t>
      </w:r>
    </w:p>
    <w:p>
      <w:pPr>
        <w:spacing w:after="160" w:line="300"/>
      </w:pPr>
      <w:r>
        <w:rPr>
          <w:rFonts w:ascii="Arial" w:cs="Arial" w:eastAsia="Arial" w:hAnsi="Arial"/>
          <w:sz w:val="22"/>
          <w:szCs w:val="22"/>
        </w:rPr>
        <w:t xml:space="preserve">C'est également ce qui justifie le rapprochement entre la Mission 1 et la Mission 2 : la collecte et l'analyse des avis Google permettront d'apporter une information complémentaire de nature qualitative, qui ne dépend pas du nombre de commandes et qui peut aider à mieux comprendre les causes de ce faible volume (image de la boutique, satisfaction client, etc.).</w:t>
      </w:r>
    </w:p>
    <w:p>
      <w:pPr>
        <w:pStyle w:val="Heading3"/>
      </w:pPr>
      <w:r>
        <w:t xml:space="preserve">Prochaines étapes</w:t>
      </w:r>
    </w:p>
    <w:p>
      <w:pPr>
        <w:pStyle w:val="ListParagraph"/>
        <w:numPr>
          <w:ilvl w:val="0"/>
          <w:numId w:val="3"/>
        </w:numPr>
        <w:spacing w:after="100" w:line="300"/>
      </w:pPr>
      <w:r>
        <w:rPr>
          <w:rFonts w:ascii="Arial" w:cs="Arial" w:eastAsia="Arial" w:hAnsi="Arial"/>
          <w:sz w:val="22"/>
          <w:szCs w:val="22"/>
        </w:rPr>
        <w:t xml:space="preserve">Rendre le tableau de bord Excel interactif à l'aide de segments (slicers) connectés aux tableaux croisés dynamiques.</w:t>
      </w:r>
    </w:p>
    <w:p>
      <w:pPr>
        <w:pStyle w:val="ListParagraph"/>
        <w:numPr>
          <w:ilvl w:val="0"/>
          <w:numId w:val="3"/>
        </w:numPr>
        <w:spacing w:after="100" w:line="300"/>
      </w:pPr>
      <w:r>
        <w:rPr>
          <w:rFonts w:ascii="Arial" w:cs="Arial" w:eastAsia="Arial" w:hAnsi="Arial"/>
          <w:sz w:val="22"/>
          <w:szCs w:val="22"/>
        </w:rPr>
        <w:t xml:space="preserve">Revoir la présentation visuelle du tableau de bord pour un rendu plus sobre et plus en adéquation avec un travail de 2ème année de BUT Science des données.</w:t>
      </w:r>
    </w:p>
    <w:p>
      <w:pPr>
        <w:pStyle w:val="ListParagraph"/>
        <w:numPr>
          <w:ilvl w:val="0"/>
          <w:numId w:val="3"/>
        </w:numPr>
        <w:spacing w:after="100" w:line="300"/>
      </w:pPr>
      <w:r>
        <w:rPr>
          <w:rFonts w:ascii="Arial" w:cs="Arial" w:eastAsia="Arial" w:hAnsi="Arial"/>
          <w:sz w:val="22"/>
          <w:szCs w:val="22"/>
        </w:rPr>
        <w:t xml:space="preserve">Démarrer concrètement la Mission 2 : collecte des avis Google laissés par les clients de Nesri Discount.</w:t>
      </w:r>
    </w:p>
    <w:p>
      <w:pPr>
        <w:pStyle w:val="ListParagraph"/>
        <w:numPr>
          <w:ilvl w:val="0"/>
          <w:numId w:val="3"/>
        </w:numPr>
        <w:spacing w:after="100" w:line="300"/>
      </w:pPr>
      <w:r>
        <w:rPr>
          <w:rFonts w:ascii="Arial" w:cs="Arial" w:eastAsia="Arial" w:hAnsi="Arial"/>
          <w:sz w:val="22"/>
          <w:szCs w:val="22"/>
        </w:rPr>
        <w:t xml:space="preserve">Trier les avis collectés entre positifs et négatifs, puis analyser leur contenu.</w:t>
      </w:r>
    </w:p>
    <w:p>
      <w:pPr>
        <w:pStyle w:val="ListParagraph"/>
        <w:numPr>
          <w:ilvl w:val="0"/>
          <w:numId w:val="3"/>
        </w:numPr>
        <w:spacing w:after="100" w:line="300"/>
      </w:pPr>
      <w:r>
        <w:rPr>
          <w:rFonts w:ascii="Arial" w:cs="Arial" w:eastAsia="Arial" w:hAnsi="Arial"/>
          <w:sz w:val="22"/>
          <w:szCs w:val="22"/>
        </w:rPr>
        <w:t xml:space="preserve">Intégrer les résultats de la Mission 2 au tableau de bord, une fois les avis effectivement collectés.</w:t>
      </w:r>
    </w:p>
    <w:p>
      <w:r>
        <w:br w:type="page"/>
      </w:r>
    </w:p>
    <w:p>
      <w:pPr>
        <w:pStyle w:val="Heading2"/>
      </w:pPr>
      <w:r>
        <w:t xml:space="preserve">Journée du 19 juin 2026</w:t>
      </w:r>
    </w:p>
    <w:p>
      <w:pPr>
        <w:pStyle w:val="Heading3"/>
      </w:pPr>
      <w:r>
        <w:t xml:space="preserve">Contexte de la journée</w:t>
      </w:r>
    </w:p>
    <w:p>
      <w:pPr>
        <w:spacing w:after="160" w:line="300"/>
      </w:pPr>
      <w:r>
        <w:rPr>
          <w:rFonts w:ascii="Arial" w:cs="Arial" w:eastAsia="Arial" w:hAnsi="Arial"/>
          <w:sz w:val="22"/>
          <w:szCs w:val="22"/>
        </w:rPr>
        <w:t xml:space="preserve">Cette journée fait suite au travail très dense de la veille (point oral avec M. Nesri, correction complète du nettoyage, calcul des indicateurs et première version du tableau de bord Excel). L'objectif du jour est de vérifier la fiabilité des chiffres du tableau de bord avant de l'améliorer, puis d'avancer sur trois axes : le rendre interactif, revoir sa présentation visuelle, et démarrer la Mission 2 (avis Google).</w:t>
      </w:r>
    </w:p>
    <w:p>
      <w:pPr>
        <w:pStyle w:val="Heading3"/>
      </w:pPr>
      <w:r>
        <w:t xml:space="preserve">Vérification des indicateurs du tableau de bord</w:t>
      </w:r>
    </w:p>
    <w:p>
      <w:pPr>
        <w:spacing w:after="160" w:line="300"/>
      </w:pPr>
      <w:r>
        <w:rPr>
          <w:rFonts w:ascii="Arial" w:cs="Arial" w:eastAsia="Arial" w:hAnsi="Arial"/>
          <w:sz w:val="22"/>
          <w:szCs w:val="22"/>
        </w:rPr>
        <w:t xml:space="preserve">Avant d'apporter toute modification visuelle, j'ai vérifié un par un les indicateurs affichés sur le tableau de bord construit la veille (CA encaissé, montant remboursé, taux de remboursement, panier moyen), en les recalculant à partir des données sources. Les cinq indicateurs se sont révélés exacts. La confusion initiale venait de la comparaison entre deux pourcentages de nature différente affichés côte à côte : la répartition des commandes par statut en nombre (56,5 % de commandes payées) et le taux de remboursement en montant (60 % du chiffre d'affaires brut). Ces deux pourcentages répondent à des questions différentes et n'ont pas de raison d'être cohérents entre eux : peu de commandes sont remboursées en nombre, mais celles qui le sont représentent un montant disproportionné, ce qui est en soi une observation intéressante à signaler à M. Nesri.</w:t>
      </w:r>
    </w:p>
    <w:p>
      <w:pPr>
        <w:pStyle w:val="Heading3"/>
      </w:pPr>
      <w:r>
        <w:t xml:space="preserve">Prochaines étapes de la journée</w:t>
      </w:r>
    </w:p>
    <w:p>
      <w:pPr>
        <w:pStyle w:val="ListParagraph"/>
        <w:numPr>
          <w:ilvl w:val="0"/>
          <w:numId w:val="3"/>
        </w:numPr>
        <w:spacing w:after="100" w:line="300"/>
      </w:pPr>
      <w:r>
        <w:rPr>
          <w:rFonts w:ascii="Arial" w:cs="Arial" w:eastAsia="Arial" w:hAnsi="Arial"/>
          <w:sz w:val="22"/>
          <w:szCs w:val="22"/>
        </w:rPr>
        <w:t xml:space="preserve">Ajouter des segments (slicers) sur les tableaux croisés dynamiques pour rendre le tableau de bord interactif.</w:t>
      </w:r>
    </w:p>
    <w:p>
      <w:pPr>
        <w:pStyle w:val="ListParagraph"/>
        <w:numPr>
          <w:ilvl w:val="0"/>
          <w:numId w:val="3"/>
        </w:numPr>
        <w:spacing w:after="100" w:line="300"/>
      </w:pPr>
      <w:r>
        <w:rPr>
          <w:rFonts w:ascii="Arial" w:cs="Arial" w:eastAsia="Arial" w:hAnsi="Arial"/>
          <w:sz w:val="22"/>
          <w:szCs w:val="22"/>
        </w:rPr>
        <w:t xml:space="preserve">Revoir la présentation visuelle du tableau de bord.</w:t>
      </w:r>
    </w:p>
    <w:p>
      <w:pPr>
        <w:pStyle w:val="ListParagraph"/>
        <w:numPr>
          <w:ilvl w:val="0"/>
          <w:numId w:val="3"/>
        </w:numPr>
        <w:spacing w:after="100" w:line="300"/>
      </w:pPr>
      <w:r>
        <w:rPr>
          <w:rFonts w:ascii="Arial" w:cs="Arial" w:eastAsia="Arial" w:hAnsi="Arial"/>
          <w:sz w:val="22"/>
          <w:szCs w:val="22"/>
        </w:rPr>
        <w:t xml:space="preserve">Démarrer la collecte des avis Google pour la Mission 2.</w:t>
      </w:r>
    </w:p>
    <w:p>
      <w:r>
        <w:br w:type="page"/>
      </w:r>
    </w:p>
    <w:p>
      <w:pPr>
        <w:pStyle w:val="Heading1"/>
      </w:pPr>
      <w:r>
        <w:t xml:space="preserve">IV. Bilan et compétences acquises</w:t>
      </w:r>
    </w:p>
    <w:p>
      <w:pPr>
        <w:pStyle w:val="Heading2"/>
      </w:pPr>
      <w:r>
        <w:t xml:space="preserve">1. Compétences techniques mobilisées</w:t>
      </w:r>
    </w:p>
    <w:p>
      <w:pPr>
        <w:spacing w:after="200" w:line="300"/>
      </w:pPr>
      <w:r>
        <w:rPr>
          <w:rFonts w:ascii="Arial" w:cs="Arial" w:eastAsia="Arial" w:hAnsi="Arial"/>
          <w:i/>
          <w:iCs/>
          <w:color w:val="555555"/>
          <w:sz w:val="22"/>
          <w:szCs w:val="22"/>
        </w:rPr>
        <w:t xml:space="preserve">[ À compléter en fin de stage : Python / pandas, nettoyage de données, analyse statistique, visualisation, Excel, etc. ]</w:t>
      </w:r>
    </w:p>
    <w:p>
      <w:pPr>
        <w:pStyle w:val="Heading2"/>
      </w:pPr>
      <w:r>
        <w:t xml:space="preserve">2. Compétences transversales</w:t>
      </w:r>
    </w:p>
    <w:p>
      <w:pPr>
        <w:spacing w:after="200" w:line="300"/>
      </w:pPr>
      <w:r>
        <w:rPr>
          <w:rFonts w:ascii="Arial" w:cs="Arial" w:eastAsia="Arial" w:hAnsi="Arial"/>
          <w:i/>
          <w:iCs/>
          <w:color w:val="555555"/>
          <w:sz w:val="22"/>
          <w:szCs w:val="22"/>
        </w:rPr>
        <w:t xml:space="preserve">[ À compléter en fin de stage : communication avec le maître de stage, esprit critique sur les données, gestion de projet, rigueur méthodologique, traçabilité du travail, etc. ]</w:t>
      </w:r>
    </w:p>
    <w:p>
      <w:pPr>
        <w:pStyle w:val="Heading2"/>
      </w:pPr>
      <w:r>
        <w:t xml:space="preserve">3. Difficultés rencontrées et solutions apportées</w:t>
      </w:r>
    </w:p>
    <w:p>
      <w:pPr>
        <w:spacing w:after="200" w:line="300"/>
      </w:pPr>
      <w:r>
        <w:rPr>
          <w:rFonts w:ascii="Arial" w:cs="Arial" w:eastAsia="Arial" w:hAnsi="Arial"/>
          <w:i/>
          <w:iCs/>
          <w:color w:val="555555"/>
          <w:sz w:val="22"/>
          <w:szCs w:val="22"/>
        </w:rPr>
        <w:t xml:space="preserve">[ À compléter en fin de stage : synthèse des principales difficultés du stage et de la façon dont elles ont été surmontées. ]</w:t>
      </w:r>
    </w:p>
    <w:p>
      <w:pPr>
        <w:pStyle w:val="Heading2"/>
      </w:pPr>
      <w:r>
        <w:t xml:space="preserve">4. Apport du stage par rapport à la formation BUT Science des données</w:t>
      </w:r>
    </w:p>
    <w:p>
      <w:pPr>
        <w:spacing w:after="200" w:line="300"/>
      </w:pPr>
      <w:r>
        <w:rPr>
          <w:rFonts w:ascii="Arial" w:cs="Arial" w:eastAsia="Arial" w:hAnsi="Arial"/>
          <w:i/>
          <w:iCs/>
          <w:color w:val="555555"/>
          <w:sz w:val="22"/>
          <w:szCs w:val="22"/>
        </w:rPr>
        <w:t xml:space="preserve">[ À compléter en fin de stage : lien entre les enseignements suivis à l'IUT de Villetaneuse et leur application concrète durant le stage. ]</w:t>
      </w:r>
    </w:p>
    <w:p>
      <w:r>
        <w:br w:type="page"/>
      </w:r>
    </w:p>
    <w:p>
      <w:pPr>
        <w:pStyle w:val="Heading1"/>
      </w:pPr>
      <w:r>
        <w:t xml:space="preserve">V. Annexes</w:t>
      </w:r>
    </w:p>
    <w:p>
      <w:pPr>
        <w:spacing w:after="200" w:line="300"/>
      </w:pPr>
      <w:r>
        <w:rPr>
          <w:rFonts w:ascii="Arial" w:cs="Arial" w:eastAsia="Arial" w:hAnsi="Arial"/>
          <w:i/>
          <w:iCs/>
          <w:color w:val="555555"/>
          <w:sz w:val="22"/>
          <w:szCs w:val="22"/>
        </w:rPr>
        <w:t xml:space="preserve">[ À compléter : extraits de code, captures du tableau de bord, exemples d'avis clients analysés, etc. ]</w:t>
      </w:r>
    </w:p>
    <w:sectPr>
      <w:headerReference w:type="default" r:id="rId7"/>
      <w:headerReference w:type="first" r:id="rId8"/>
      <w:footerReference w:type="default" r:id="rId9"/>
      <w:footerReference w:type="first" r:id="rId10"/>
      <w:pgSz w:w="11906" w:h="16838" w:orient="portrait"/>
      <w:pgMar w:top="1440" w:right="1440" w:bottom="1440" w:left="1440" w:header="708" w:footer="708" w:gutter="0"/>
      <w:pgNumType/>
      <w:titlePg/>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Arial" w:cs="Arial" w:eastAsia="Arial" w:hAnsi="Arial"/>
        <w:color w:val="555555"/>
        <w:sz w:val="18"/>
        <w:szCs w:val="18"/>
      </w:rPr>
      <w:fldChar w:fldCharType="begin"/>
      <w:instrText xml:space="preserve">PAGE</w:instrText>
      <w:fldChar w:fldCharType="separate"/>
      <w:fldChar w:fldCharType="end"/>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D9B8B8" w:sz="4" w:space="1"/>
      </w:pBdr>
      <w:tabs>
        <w:tab w:val="right" w:pos="9026"/>
      </w:tabs>
    </w:pPr>
    <w:r>
      <w:rPr>
        <w:rFonts w:ascii="Arial" w:cs="Arial" w:eastAsia="Arial" w:hAnsi="Arial"/>
        <w:color w:val="555555"/>
        <w:sz w:val="16"/>
        <w:szCs w:val="16"/>
      </w:rPr>
      <w:t xml:space="preserve">Rapport de stage - Nesri Discount</w:t>
    </w:r>
    <w:r>
      <w:rPr>
        <w:rFonts w:ascii="Arial" w:cs="Arial" w:eastAsia="Arial" w:hAnsi="Arial"/>
        <w:color w:val="555555"/>
        <w:sz w:val="16"/>
        <w:szCs w:val="16"/>
      </w:rPr>
      <w:t xml:space="preserve">	Surenthini Sivakumar</w:t>
    </w: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abstractNum w:abstractNumId="3" w15:restartNumberingAfterBreak="0">
    <w:multiLevelType w:val="hybridMultilevel"/>
    <w:lvl w:ilvl="0" w15:tentative="1">
      <w:start w:val="1"/>
      <w:numFmt w:val="decimal"/>
      <w:lvlText w:val="%1."/>
      <w:lvlJc w:val="left"/>
      <w:pPr>
        <w:ind w:left="720" w:hanging="360"/>
      </w:pPr>
    </w:lvl>
  </w:abstractNum>
  <w:abstractNum w:abstractNumId="4"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3"/>
    <w:lvlOverride w:ilvl="0">
      <w:startOverride w:val="1"/>
    </w:lvlOverride>
  </w:num>
  <w:num w:numId="3">
    <w:abstractNumId w:val="2"/>
    <w:lvlOverride w:ilvl="0">
      <w:startOverride w:val="1"/>
    </w:lvlOverride>
  </w:num>
  <w:num w:numId="4">
    <w:abstractNumId w:val="4"/>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color w:val="1A1A1A"/>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pBdr>
        <w:bottom w:val="single" w:color="C0392B" w:sz="6" w:space="4"/>
      </w:pBdr>
      <w:spacing w:after="240" w:before="360"/>
      <w:outlineLvl w:val="0"/>
    </w:pPr>
    <w:rPr>
      <w:rFonts w:ascii="Arial" w:cs="Arial" w:eastAsia="Arial" w:hAnsi="Arial"/>
      <w:b/>
      <w:bCs/>
      <w:color w:val="C0392B"/>
      <w:sz w:val="32"/>
      <w:szCs w:val="32"/>
    </w:rPr>
  </w:style>
  <w:style w:type="paragraph" w:styleId="Heading2">
    <w:name w:val="Heading 2"/>
    <w:basedOn w:val="Normal"/>
    <w:next w:val="Normal"/>
    <w:qFormat/>
    <w:pPr>
      <w:spacing w:after="160" w:before="280"/>
      <w:outlineLvl w:val="1"/>
    </w:pPr>
    <w:rPr>
      <w:rFonts w:ascii="Arial" w:cs="Arial" w:eastAsia="Arial" w:hAnsi="Arial"/>
      <w:b/>
      <w:bCs/>
      <w:color w:val="1A1A1A"/>
      <w:sz w:val="26"/>
      <w:szCs w:val="26"/>
    </w:rPr>
  </w:style>
  <w:style w:type="paragraph" w:styleId="Heading3">
    <w:name w:val="Heading 3"/>
    <w:basedOn w:val="Normal"/>
    <w:next w:val="Normal"/>
    <w:qFormat/>
    <w:pPr>
      <w:spacing w:after="120" w:before="220"/>
      <w:outlineLvl w:val="2"/>
    </w:pPr>
    <w:rPr>
      <w:rFonts w:ascii="Arial" w:cs="Arial" w:eastAsia="Arial" w:hAnsi="Arial"/>
      <w:b/>
      <w:bCs/>
      <w:i/>
      <w:iCs/>
      <w:color w:val="555555"/>
      <w:sz w:val="23"/>
      <w:szCs w:val="23"/>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header" Target="header2.xml"/><Relationship Id="rId9" Type="http://schemas.openxmlformats.org/officeDocument/2006/relationships/footer" Target="footer1.xml"/><Relationship Id="rId10" Type="http://schemas.openxmlformats.org/officeDocument/2006/relationships/footer" Target="footer2.xml"/><Relationship Id="rId11"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er2.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word/_rels/header2.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Rapport de stage - Nesri Discount</dc:title>
  <dc:creator>Surenthini Sivakumar</dc:creator>
  <cp:lastModifiedBy>Un-named</cp:lastModifiedBy>
  <cp:revision>1</cp:revision>
  <dcterms:created xsi:type="dcterms:W3CDTF">2026-06-19T09:02:02.787Z</dcterms:created>
  <dcterms:modified xsi:type="dcterms:W3CDTF">2026-06-19T09:02:02.801Z</dcterms:modified>
</cp:coreProperties>
</file>

<file path=docProps/custom.xml><?xml version="1.0" encoding="utf-8"?>
<Properties xmlns="http://schemas.openxmlformats.org/officeDocument/2006/custom-properties" xmlns:vt="http://schemas.openxmlformats.org/officeDocument/2006/docPropsVTypes"/>
</file>