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Results: budget-constrained multi-task network for EU crops</w:t>
      </w:r>
    </w:p>
    <w:p>
      <w:r>
        <w:t>ENGG2112 group project. This document collects every result table and figure behind the final report's findings section, with a short reading of each. The model is one neural network for all four crops that predicts yield and harvested N removal and computes N surplus from the soil-surface budget. All values are generated by the project code from results/ and figures/, so a rerun refreshes them. Figures are also exported at 16:9 in figures/slides for the presentation, and the headline values are listed in reports/key_numbers.csv.</w:t>
      </w:r>
    </w:p>
    <w:p>
      <w:pPr>
        <w:pStyle w:val="Heading1"/>
      </w:pPr>
      <w:r>
        <w:t>1. Key results at a glance</w:t>
      </w:r>
    </w:p>
    <w:p>
      <w:pPr>
        <w:pStyle w:val="ListBullet"/>
      </w:pPr>
      <w:r>
        <w:t>Accuracy on later years (2017-2018): yield MAE 0.85 t/ha (R² 0.81), removal MAE 15.7 kg N/ha, surplus MAE 10.2 kg N/ha.</w:t>
      </w:r>
    </w:p>
    <w:p>
      <w:pPr>
        <w:pStyle w:val="ListBullet"/>
      </w:pPr>
      <w:r>
        <w:t>Accuracy on countries held out of training: yield MAE 1.22 t/ha and surplus MAE 15.7 kg N/ha. Yield error is 44% higher than on later years, because no data from the region itself was seen in training.</w:t>
      </w:r>
    </w:p>
    <w:p>
      <w:pPr>
        <w:pStyle w:val="ListBullet"/>
      </w:pPr>
      <w:r>
        <w:t>Budget closure: the largest gap between inputs, removal and surplus in any prediction was 0.00003 kg N/ha, which is rounding. Every output obeys the budget.</w:t>
      </w:r>
    </w:p>
    <w:p>
      <w:pPr>
        <w:pStyle w:val="ListBullet"/>
      </w:pPr>
      <w:r>
        <w:t>Largest error source: the 2018 drought. Yield bias was +0.10 t/ha in 2017 and +0.61 t/ha in 2018. The model has no weather input.</w:t>
      </w:r>
    </w:p>
    <w:p>
      <w:pPr>
        <w:pStyle w:val="ListBullet"/>
      </w:pPr>
      <w:r>
        <w:t>Hotspots: the 10% of crop-region-years with the highest predicted surplus per tonne of yield cover 6% of crop area but 19% of predicted surplus. The ranking agrees with the budget values (Spearman 0.88 to 0.95).</w:t>
      </w:r>
    </w:p>
    <w:p>
      <w:pPr>
        <w:pStyle w:val="Heading1"/>
      </w:pPr>
      <w:r>
        <w:t>2. Data and coverage</w:t>
      </w:r>
    </w:p>
    <w:p>
      <w:pPr>
        <w:pStyle w:val="Caption"/>
        <w:keepNext/>
      </w:pPr>
      <w:r>
        <w:t>Table 1. Per-crop budget dataset: 13,185 crop-region-years from 216 NUTS2 regions in 26 countries, 2000-2018 (crops with at least 1,000 ha in a region).</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E1E0D9"/>
          </w:tcPr>
          <w:p>
            <w:pPr>
              <w:spacing w:after="0" w:line="240" w:lineRule="auto"/>
            </w:pPr>
            <w:r>
              <w:rPr>
                <w:b/>
                <w:sz w:val="18"/>
              </w:rPr>
              <w:t>Crop</w:t>
            </w:r>
          </w:p>
        </w:tc>
        <w:tc>
          <w:tcPr>
            <w:tcW w:type="dxa" w:w="1289"/>
            <w:shd w:val="clear" w:color="auto" w:fill="E1E0D9"/>
          </w:tcPr>
          <w:p>
            <w:pPr>
              <w:spacing w:after="0" w:line="240" w:lineRule="auto"/>
              <w:jc w:val="right"/>
            </w:pPr>
            <w:r>
              <w:rPr>
                <w:b/>
                <w:sz w:val="18"/>
              </w:rPr>
              <w:t>Rows</w:t>
            </w:r>
          </w:p>
        </w:tc>
        <w:tc>
          <w:tcPr>
            <w:tcW w:type="dxa" w:w="1289"/>
            <w:shd w:val="clear" w:color="auto" w:fill="E1E0D9"/>
          </w:tcPr>
          <w:p>
            <w:pPr>
              <w:spacing w:after="0" w:line="240" w:lineRule="auto"/>
              <w:jc w:val="right"/>
            </w:pPr>
            <w:r>
              <w:rPr>
                <w:b/>
                <w:sz w:val="18"/>
              </w:rPr>
              <w:t>Regions</w:t>
            </w:r>
          </w:p>
        </w:tc>
        <w:tc>
          <w:tcPr>
            <w:tcW w:type="dxa" w:w="1289"/>
            <w:shd w:val="clear" w:color="auto" w:fill="E1E0D9"/>
          </w:tcPr>
          <w:p>
            <w:pPr>
              <w:spacing w:after="0" w:line="240" w:lineRule="auto"/>
              <w:jc w:val="right"/>
            </w:pPr>
            <w:r>
              <w:rPr>
                <w:b/>
                <w:sz w:val="18"/>
              </w:rPr>
              <w:t>Mean yield, t/ha</w:t>
            </w:r>
          </w:p>
        </w:tc>
        <w:tc>
          <w:tcPr>
            <w:tcW w:type="dxa" w:w="1289"/>
            <w:shd w:val="clear" w:color="auto" w:fill="E1E0D9"/>
          </w:tcPr>
          <w:p>
            <w:pPr>
              <w:spacing w:after="0" w:line="240" w:lineRule="auto"/>
              <w:jc w:val="right"/>
            </w:pPr>
            <w:r>
              <w:rPr>
                <w:b/>
                <w:sz w:val="18"/>
              </w:rPr>
              <w:t>Mineral N, kg N/ha</w:t>
            </w:r>
          </w:p>
        </w:tc>
        <w:tc>
          <w:tcPr>
            <w:tcW w:type="dxa" w:w="1289"/>
            <w:shd w:val="clear" w:color="auto" w:fill="E1E0D9"/>
          </w:tcPr>
          <w:p>
            <w:pPr>
              <w:spacing w:after="0" w:line="240" w:lineRule="auto"/>
              <w:jc w:val="right"/>
            </w:pPr>
            <w:r>
              <w:rPr>
                <w:b/>
                <w:sz w:val="18"/>
              </w:rPr>
              <w:t>Removal, kg N/ha</w:t>
            </w:r>
          </w:p>
        </w:tc>
        <w:tc>
          <w:tcPr>
            <w:tcW w:type="dxa" w:w="1289"/>
            <w:shd w:val="clear" w:color="auto" w:fill="E1E0D9"/>
          </w:tcPr>
          <w:p>
            <w:pPr>
              <w:spacing w:after="0" w:line="240" w:lineRule="auto"/>
              <w:jc w:val="right"/>
            </w:pPr>
            <w:r>
              <w:rPr>
                <w:b/>
                <w:sz w:val="18"/>
              </w:rPr>
              <w:t>Surplus, kg N/ha</w:t>
            </w:r>
          </w:p>
        </w:tc>
      </w:tr>
      <w:tr>
        <w:tc>
          <w:tcPr>
            <w:tcW w:type="dxa" w:w="1289"/>
          </w:tcPr>
          <w:p>
            <w:pPr>
              <w:spacing w:after="0" w:line="240" w:lineRule="auto"/>
            </w:pPr>
            <w:r>
              <w:rPr>
                <w:b w:val="0"/>
                <w:sz w:val="18"/>
              </w:rPr>
              <w:t>Soft wheat</w:t>
            </w:r>
          </w:p>
        </w:tc>
        <w:tc>
          <w:tcPr>
            <w:tcW w:type="dxa" w:w="1289"/>
          </w:tcPr>
          <w:p>
            <w:pPr>
              <w:spacing w:after="0" w:line="240" w:lineRule="auto"/>
              <w:jc w:val="right"/>
            </w:pPr>
            <w:r>
              <w:rPr>
                <w:b w:val="0"/>
                <w:sz w:val="18"/>
              </w:rPr>
              <w:t>3747</w:t>
            </w:r>
          </w:p>
        </w:tc>
        <w:tc>
          <w:tcPr>
            <w:tcW w:type="dxa" w:w="1289"/>
          </w:tcPr>
          <w:p>
            <w:pPr>
              <w:spacing w:after="0" w:line="240" w:lineRule="auto"/>
              <w:jc w:val="right"/>
            </w:pPr>
            <w:r>
              <w:rPr>
                <w:b w:val="0"/>
                <w:sz w:val="18"/>
              </w:rPr>
              <w:t>203</w:t>
            </w:r>
          </w:p>
        </w:tc>
        <w:tc>
          <w:tcPr>
            <w:tcW w:type="dxa" w:w="1289"/>
          </w:tcPr>
          <w:p>
            <w:pPr>
              <w:spacing w:after="0" w:line="240" w:lineRule="auto"/>
              <w:jc w:val="right"/>
            </w:pPr>
            <w:r>
              <w:rPr>
                <w:b w:val="0"/>
                <w:sz w:val="18"/>
              </w:rPr>
              <w:t>5.67</w:t>
            </w:r>
          </w:p>
        </w:tc>
        <w:tc>
          <w:tcPr>
            <w:tcW w:type="dxa" w:w="1289"/>
          </w:tcPr>
          <w:p>
            <w:pPr>
              <w:spacing w:after="0" w:line="240" w:lineRule="auto"/>
              <w:jc w:val="right"/>
            </w:pPr>
            <w:r>
              <w:rPr>
                <w:b w:val="0"/>
                <w:sz w:val="18"/>
              </w:rPr>
              <w:t>119</w:t>
            </w:r>
          </w:p>
        </w:tc>
        <w:tc>
          <w:tcPr>
            <w:tcW w:type="dxa" w:w="1289"/>
          </w:tcPr>
          <w:p>
            <w:pPr>
              <w:spacing w:after="0" w:line="240" w:lineRule="auto"/>
              <w:jc w:val="right"/>
            </w:pPr>
            <w:r>
              <w:rPr>
                <w:b w:val="0"/>
                <w:sz w:val="18"/>
              </w:rPr>
              <w:t>114</w:t>
            </w:r>
          </w:p>
        </w:tc>
        <w:tc>
          <w:tcPr>
            <w:tcW w:type="dxa" w:w="1289"/>
          </w:tcPr>
          <w:p>
            <w:pPr>
              <w:spacing w:after="0" w:line="240" w:lineRule="auto"/>
              <w:jc w:val="right"/>
            </w:pPr>
            <w:r>
              <w:rPr>
                <w:b w:val="0"/>
                <w:sz w:val="18"/>
              </w:rPr>
              <w:t>106</w:t>
            </w:r>
          </w:p>
        </w:tc>
      </w:tr>
      <w:tr>
        <w:tc>
          <w:tcPr>
            <w:tcW w:type="dxa" w:w="1289"/>
          </w:tcPr>
          <w:p>
            <w:pPr>
              <w:spacing w:after="0" w:line="240" w:lineRule="auto"/>
            </w:pPr>
            <w:r>
              <w:rPr>
                <w:b w:val="0"/>
                <w:sz w:val="18"/>
              </w:rPr>
              <w:t>Barley</w:t>
            </w:r>
          </w:p>
        </w:tc>
        <w:tc>
          <w:tcPr>
            <w:tcW w:type="dxa" w:w="1289"/>
          </w:tcPr>
          <w:p>
            <w:pPr>
              <w:spacing w:after="0" w:line="240" w:lineRule="auto"/>
              <w:jc w:val="right"/>
            </w:pPr>
            <w:r>
              <w:rPr>
                <w:b w:val="0"/>
                <w:sz w:val="18"/>
              </w:rPr>
              <w:t>3802</w:t>
            </w:r>
          </w:p>
        </w:tc>
        <w:tc>
          <w:tcPr>
            <w:tcW w:type="dxa" w:w="1289"/>
          </w:tcPr>
          <w:p>
            <w:pPr>
              <w:spacing w:after="0" w:line="240" w:lineRule="auto"/>
              <w:jc w:val="right"/>
            </w:pPr>
            <w:r>
              <w:rPr>
                <w:b w:val="0"/>
                <w:sz w:val="18"/>
              </w:rPr>
              <w:t>209</w:t>
            </w:r>
          </w:p>
        </w:tc>
        <w:tc>
          <w:tcPr>
            <w:tcW w:type="dxa" w:w="1289"/>
          </w:tcPr>
          <w:p>
            <w:pPr>
              <w:spacing w:after="0" w:line="240" w:lineRule="auto"/>
              <w:jc w:val="right"/>
            </w:pPr>
            <w:r>
              <w:rPr>
                <w:b w:val="0"/>
                <w:sz w:val="18"/>
              </w:rPr>
              <w:t>4.73</w:t>
            </w:r>
          </w:p>
        </w:tc>
        <w:tc>
          <w:tcPr>
            <w:tcW w:type="dxa" w:w="1289"/>
          </w:tcPr>
          <w:p>
            <w:pPr>
              <w:spacing w:after="0" w:line="240" w:lineRule="auto"/>
              <w:jc w:val="right"/>
            </w:pPr>
            <w:r>
              <w:rPr>
                <w:b w:val="0"/>
                <w:sz w:val="18"/>
              </w:rPr>
              <w:t>97</w:t>
            </w:r>
          </w:p>
        </w:tc>
        <w:tc>
          <w:tcPr>
            <w:tcW w:type="dxa" w:w="1289"/>
          </w:tcPr>
          <w:p>
            <w:pPr>
              <w:spacing w:after="0" w:line="240" w:lineRule="auto"/>
              <w:jc w:val="right"/>
            </w:pPr>
            <w:r>
              <w:rPr>
                <w:b w:val="0"/>
                <w:sz w:val="18"/>
              </w:rPr>
              <w:t>90</w:t>
            </w:r>
          </w:p>
        </w:tc>
        <w:tc>
          <w:tcPr>
            <w:tcW w:type="dxa" w:w="1289"/>
          </w:tcPr>
          <w:p>
            <w:pPr>
              <w:spacing w:after="0" w:line="240" w:lineRule="auto"/>
              <w:jc w:val="right"/>
            </w:pPr>
            <w:r>
              <w:rPr>
                <w:b w:val="0"/>
                <w:sz w:val="18"/>
              </w:rPr>
              <w:t>107</w:t>
            </w:r>
          </w:p>
        </w:tc>
      </w:tr>
      <w:tr>
        <w:tc>
          <w:tcPr>
            <w:tcW w:type="dxa" w:w="1289"/>
          </w:tcPr>
          <w:p>
            <w:pPr>
              <w:spacing w:after="0" w:line="240" w:lineRule="auto"/>
            </w:pPr>
            <w:r>
              <w:rPr>
                <w:b w:val="0"/>
                <w:sz w:val="18"/>
              </w:rPr>
              <w:t>Grain maize</w:t>
            </w:r>
          </w:p>
        </w:tc>
        <w:tc>
          <w:tcPr>
            <w:tcW w:type="dxa" w:w="1289"/>
          </w:tcPr>
          <w:p>
            <w:pPr>
              <w:spacing w:after="0" w:line="240" w:lineRule="auto"/>
              <w:jc w:val="right"/>
            </w:pPr>
            <w:r>
              <w:rPr>
                <w:b w:val="0"/>
                <w:sz w:val="18"/>
              </w:rPr>
              <w:t>2892</w:t>
            </w:r>
          </w:p>
        </w:tc>
        <w:tc>
          <w:tcPr>
            <w:tcW w:type="dxa" w:w="1289"/>
          </w:tcPr>
          <w:p>
            <w:pPr>
              <w:spacing w:after="0" w:line="240" w:lineRule="auto"/>
              <w:jc w:val="right"/>
            </w:pPr>
            <w:r>
              <w:rPr>
                <w:b w:val="0"/>
                <w:sz w:val="18"/>
              </w:rPr>
              <w:t>163</w:t>
            </w:r>
          </w:p>
        </w:tc>
        <w:tc>
          <w:tcPr>
            <w:tcW w:type="dxa" w:w="1289"/>
          </w:tcPr>
          <w:p>
            <w:pPr>
              <w:spacing w:after="0" w:line="240" w:lineRule="auto"/>
              <w:jc w:val="right"/>
            </w:pPr>
            <w:r>
              <w:rPr>
                <w:b w:val="0"/>
                <w:sz w:val="18"/>
              </w:rPr>
              <w:t>7.96</w:t>
            </w:r>
          </w:p>
        </w:tc>
        <w:tc>
          <w:tcPr>
            <w:tcW w:type="dxa" w:w="1289"/>
          </w:tcPr>
          <w:p>
            <w:pPr>
              <w:spacing w:after="0" w:line="240" w:lineRule="auto"/>
              <w:jc w:val="right"/>
            </w:pPr>
            <w:r>
              <w:rPr>
                <w:b w:val="0"/>
                <w:sz w:val="18"/>
              </w:rPr>
              <w:t>136</w:t>
            </w:r>
          </w:p>
        </w:tc>
        <w:tc>
          <w:tcPr>
            <w:tcW w:type="dxa" w:w="1289"/>
          </w:tcPr>
          <w:p>
            <w:pPr>
              <w:spacing w:after="0" w:line="240" w:lineRule="auto"/>
              <w:jc w:val="right"/>
            </w:pPr>
            <w:r>
              <w:rPr>
                <w:b w:val="0"/>
                <w:sz w:val="18"/>
              </w:rPr>
              <w:t>111</w:t>
            </w:r>
          </w:p>
        </w:tc>
        <w:tc>
          <w:tcPr>
            <w:tcW w:type="dxa" w:w="1289"/>
          </w:tcPr>
          <w:p>
            <w:pPr>
              <w:spacing w:after="0" w:line="240" w:lineRule="auto"/>
              <w:jc w:val="right"/>
            </w:pPr>
            <w:r>
              <w:rPr>
                <w:b w:val="0"/>
                <w:sz w:val="18"/>
              </w:rPr>
              <w:t>127</w:t>
            </w:r>
          </w:p>
        </w:tc>
      </w:tr>
      <w:tr>
        <w:tc>
          <w:tcPr>
            <w:tcW w:type="dxa" w:w="1289"/>
          </w:tcPr>
          <w:p>
            <w:pPr>
              <w:spacing w:after="0" w:line="240" w:lineRule="auto"/>
            </w:pPr>
            <w:r>
              <w:rPr>
                <w:b w:val="0"/>
                <w:sz w:val="18"/>
              </w:rPr>
              <w:t>Rapeseed</w:t>
            </w:r>
          </w:p>
        </w:tc>
        <w:tc>
          <w:tcPr>
            <w:tcW w:type="dxa" w:w="1289"/>
          </w:tcPr>
          <w:p>
            <w:pPr>
              <w:spacing w:after="0" w:line="240" w:lineRule="auto"/>
              <w:jc w:val="right"/>
            </w:pPr>
            <w:r>
              <w:rPr>
                <w:b w:val="0"/>
                <w:sz w:val="18"/>
              </w:rPr>
              <w:t>2744</w:t>
            </w:r>
          </w:p>
        </w:tc>
        <w:tc>
          <w:tcPr>
            <w:tcW w:type="dxa" w:w="1289"/>
          </w:tcPr>
          <w:p>
            <w:pPr>
              <w:spacing w:after="0" w:line="240" w:lineRule="auto"/>
              <w:jc w:val="right"/>
            </w:pPr>
            <w:r>
              <w:rPr>
                <w:b w:val="0"/>
                <w:sz w:val="18"/>
              </w:rPr>
              <w:t>160</w:t>
            </w:r>
          </w:p>
        </w:tc>
        <w:tc>
          <w:tcPr>
            <w:tcW w:type="dxa" w:w="1289"/>
          </w:tcPr>
          <w:p>
            <w:pPr>
              <w:spacing w:after="0" w:line="240" w:lineRule="auto"/>
              <w:jc w:val="right"/>
            </w:pPr>
            <w:r>
              <w:rPr>
                <w:b w:val="0"/>
                <w:sz w:val="18"/>
              </w:rPr>
              <w:t>2.85</w:t>
            </w:r>
          </w:p>
        </w:tc>
        <w:tc>
          <w:tcPr>
            <w:tcW w:type="dxa" w:w="1289"/>
          </w:tcPr>
          <w:p>
            <w:pPr>
              <w:spacing w:after="0" w:line="240" w:lineRule="auto"/>
              <w:jc w:val="right"/>
            </w:pPr>
            <w:r>
              <w:rPr>
                <w:b w:val="0"/>
                <w:sz w:val="18"/>
              </w:rPr>
              <w:t>107</w:t>
            </w:r>
          </w:p>
        </w:tc>
        <w:tc>
          <w:tcPr>
            <w:tcW w:type="dxa" w:w="1289"/>
          </w:tcPr>
          <w:p>
            <w:pPr>
              <w:spacing w:after="0" w:line="240" w:lineRule="auto"/>
              <w:jc w:val="right"/>
            </w:pPr>
            <w:r>
              <w:rPr>
                <w:b w:val="0"/>
                <w:sz w:val="18"/>
              </w:rPr>
              <w:t>90</w:t>
            </w:r>
          </w:p>
        </w:tc>
        <w:tc>
          <w:tcPr>
            <w:tcW w:type="dxa" w:w="1289"/>
          </w:tcPr>
          <w:p>
            <w:pPr>
              <w:spacing w:after="0" w:line="240" w:lineRule="auto"/>
              <w:jc w:val="right"/>
            </w:pPr>
            <w:r>
              <w:rPr>
                <w:b w:val="0"/>
                <w:sz w:val="18"/>
              </w:rPr>
              <w:t>104</w:t>
            </w:r>
          </w:p>
        </w:tc>
      </w:tr>
    </w:tbl>
    <w:p>
      <w:pPr>
        <w:spacing w:after="40"/>
      </w:pPr>
    </w:p>
    <w:p>
      <w:r>
        <w:rPr>
          <w:b/>
        </w:rPr>
        <w:t xml:space="preserve">Reading. </w:t>
      </w:r>
      <w:r>
        <w:t>CAPRI's regional budget closes: the largest gap between inputs, retention and surplus was 0.006 kg N/ha, which is rounding. The per-crop budget is our construction, because CAPRI reports surplus only for all farmland in a region.</w:t>
      </w:r>
    </w:p>
    <w:p>
      <w:pPr>
        <w:pStyle w:val="Caption"/>
        <w:keepNext/>
      </w:pPr>
      <w:r>
        <w:t>Table 2. Grain N content. Calibrated by non-negative least squares of CAPRI regional N retention on area times yield of all 35 CAPRI crops (R² = 0.990).</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E1E0D9"/>
          </w:tcPr>
          <w:p>
            <w:pPr>
              <w:spacing w:after="0" w:line="240" w:lineRule="auto"/>
            </w:pPr>
            <w:r>
              <w:rPr>
                <w:b/>
                <w:sz w:val="18"/>
              </w:rPr>
              <w:t>Crop</w:t>
            </w:r>
          </w:p>
        </w:tc>
        <w:tc>
          <w:tcPr>
            <w:tcW w:type="dxa" w:w="2256"/>
            <w:shd w:val="clear" w:color="auto" w:fill="E1E0D9"/>
          </w:tcPr>
          <w:p>
            <w:pPr>
              <w:spacing w:after="0" w:line="240" w:lineRule="auto"/>
              <w:jc w:val="right"/>
            </w:pPr>
            <w:r>
              <w:rPr>
                <w:b/>
                <w:sz w:val="18"/>
              </w:rPr>
              <w:t>Calibrated, kg N/t</w:t>
            </w:r>
          </w:p>
        </w:tc>
        <w:tc>
          <w:tcPr>
            <w:tcW w:type="dxa" w:w="2256"/>
            <w:shd w:val="clear" w:color="auto" w:fill="E1E0D9"/>
          </w:tcPr>
          <w:p>
            <w:pPr>
              <w:spacing w:after="0" w:line="240" w:lineRule="auto"/>
              <w:jc w:val="right"/>
            </w:pPr>
            <w:r>
              <w:rPr>
                <w:b/>
                <w:sz w:val="18"/>
              </w:rPr>
              <w:t>Literature range</w:t>
            </w:r>
          </w:p>
        </w:tc>
        <w:tc>
          <w:tcPr>
            <w:tcW w:type="dxa" w:w="2256"/>
            <w:shd w:val="clear" w:color="auto" w:fill="E1E0D9"/>
          </w:tcPr>
          <w:p>
            <w:pPr>
              <w:spacing w:after="0" w:line="240" w:lineRule="auto"/>
              <w:jc w:val="right"/>
            </w:pPr>
            <w:r>
              <w:rPr>
                <w:b/>
                <w:sz w:val="18"/>
              </w:rPr>
              <w:t>Used, kg N/t</w:t>
            </w:r>
          </w:p>
        </w:tc>
      </w:tr>
      <w:tr>
        <w:tc>
          <w:tcPr>
            <w:tcW w:type="dxa" w:w="2256"/>
          </w:tcPr>
          <w:p>
            <w:pPr>
              <w:spacing w:after="0" w:line="240" w:lineRule="auto"/>
            </w:pPr>
            <w:r>
              <w:rPr>
                <w:b w:val="0"/>
                <w:sz w:val="18"/>
              </w:rPr>
              <w:t>Soft wheat</w:t>
            </w:r>
          </w:p>
        </w:tc>
        <w:tc>
          <w:tcPr>
            <w:tcW w:type="dxa" w:w="2256"/>
          </w:tcPr>
          <w:p>
            <w:pPr>
              <w:spacing w:after="0" w:line="240" w:lineRule="auto"/>
              <w:jc w:val="right"/>
            </w:pPr>
            <w:r>
              <w:rPr>
                <w:b w:val="0"/>
                <w:sz w:val="18"/>
              </w:rPr>
              <w:t>20.1</w:t>
            </w:r>
          </w:p>
        </w:tc>
        <w:tc>
          <w:tcPr>
            <w:tcW w:type="dxa" w:w="2256"/>
          </w:tcPr>
          <w:p>
            <w:pPr>
              <w:spacing w:after="0" w:line="240" w:lineRule="auto"/>
              <w:jc w:val="right"/>
            </w:pPr>
            <w:r>
              <w:rPr>
                <w:b w:val="0"/>
                <w:sz w:val="18"/>
              </w:rPr>
              <w:t>17-23</w:t>
            </w:r>
          </w:p>
        </w:tc>
        <w:tc>
          <w:tcPr>
            <w:tcW w:type="dxa" w:w="2256"/>
          </w:tcPr>
          <w:p>
            <w:pPr>
              <w:spacing w:after="0" w:line="240" w:lineRule="auto"/>
              <w:jc w:val="right"/>
            </w:pPr>
            <w:r>
              <w:rPr>
                <w:b w:val="0"/>
                <w:sz w:val="18"/>
              </w:rPr>
              <w:t>20.1</w:t>
            </w:r>
          </w:p>
        </w:tc>
      </w:tr>
      <w:tr>
        <w:tc>
          <w:tcPr>
            <w:tcW w:type="dxa" w:w="2256"/>
          </w:tcPr>
          <w:p>
            <w:pPr>
              <w:spacing w:after="0" w:line="240" w:lineRule="auto"/>
            </w:pPr>
            <w:r>
              <w:rPr>
                <w:b w:val="0"/>
                <w:sz w:val="18"/>
              </w:rPr>
              <w:t>Barley</w:t>
            </w:r>
          </w:p>
        </w:tc>
        <w:tc>
          <w:tcPr>
            <w:tcW w:type="dxa" w:w="2256"/>
          </w:tcPr>
          <w:p>
            <w:pPr>
              <w:spacing w:after="0" w:line="240" w:lineRule="auto"/>
              <w:jc w:val="right"/>
            </w:pPr>
            <w:r>
              <w:rPr>
                <w:b w:val="0"/>
                <w:sz w:val="18"/>
              </w:rPr>
              <w:t>18.9</w:t>
            </w:r>
          </w:p>
        </w:tc>
        <w:tc>
          <w:tcPr>
            <w:tcW w:type="dxa" w:w="2256"/>
          </w:tcPr>
          <w:p>
            <w:pPr>
              <w:spacing w:after="0" w:line="240" w:lineRule="auto"/>
              <w:jc w:val="right"/>
            </w:pPr>
            <w:r>
              <w:rPr>
                <w:b w:val="0"/>
                <w:sz w:val="18"/>
              </w:rPr>
              <w:t>14-20</w:t>
            </w:r>
          </w:p>
        </w:tc>
        <w:tc>
          <w:tcPr>
            <w:tcW w:type="dxa" w:w="2256"/>
          </w:tcPr>
          <w:p>
            <w:pPr>
              <w:spacing w:after="0" w:line="240" w:lineRule="auto"/>
              <w:jc w:val="right"/>
            </w:pPr>
            <w:r>
              <w:rPr>
                <w:b w:val="0"/>
                <w:sz w:val="18"/>
              </w:rPr>
              <w:t>18.9</w:t>
            </w:r>
          </w:p>
        </w:tc>
      </w:tr>
      <w:tr>
        <w:tc>
          <w:tcPr>
            <w:tcW w:type="dxa" w:w="2256"/>
          </w:tcPr>
          <w:p>
            <w:pPr>
              <w:spacing w:after="0" w:line="240" w:lineRule="auto"/>
            </w:pPr>
            <w:r>
              <w:rPr>
                <w:b w:val="0"/>
                <w:sz w:val="18"/>
              </w:rPr>
              <w:t>Grain maize</w:t>
            </w:r>
          </w:p>
        </w:tc>
        <w:tc>
          <w:tcPr>
            <w:tcW w:type="dxa" w:w="2256"/>
          </w:tcPr>
          <w:p>
            <w:pPr>
              <w:spacing w:after="0" w:line="240" w:lineRule="auto"/>
              <w:jc w:val="right"/>
            </w:pPr>
            <w:r>
              <w:rPr>
                <w:b w:val="0"/>
                <w:sz w:val="18"/>
              </w:rPr>
              <w:t>24.1</w:t>
            </w:r>
          </w:p>
        </w:tc>
        <w:tc>
          <w:tcPr>
            <w:tcW w:type="dxa" w:w="2256"/>
          </w:tcPr>
          <w:p>
            <w:pPr>
              <w:spacing w:after="0" w:line="240" w:lineRule="auto"/>
              <w:jc w:val="right"/>
            </w:pPr>
            <w:r>
              <w:rPr>
                <w:b w:val="0"/>
                <w:sz w:val="18"/>
              </w:rPr>
              <w:t>12-16</w:t>
            </w:r>
          </w:p>
        </w:tc>
        <w:tc>
          <w:tcPr>
            <w:tcW w:type="dxa" w:w="2256"/>
          </w:tcPr>
          <w:p>
            <w:pPr>
              <w:spacing w:after="0" w:line="240" w:lineRule="auto"/>
              <w:jc w:val="right"/>
            </w:pPr>
            <w:r>
              <w:rPr>
                <w:b w:val="0"/>
                <w:sz w:val="18"/>
              </w:rPr>
              <w:t>14.0</w:t>
            </w:r>
          </w:p>
        </w:tc>
      </w:tr>
      <w:tr>
        <w:tc>
          <w:tcPr>
            <w:tcW w:type="dxa" w:w="2256"/>
          </w:tcPr>
          <w:p>
            <w:pPr>
              <w:spacing w:after="0" w:line="240" w:lineRule="auto"/>
            </w:pPr>
            <w:r>
              <w:rPr>
                <w:b w:val="0"/>
                <w:sz w:val="18"/>
              </w:rPr>
              <w:t>Rapeseed</w:t>
            </w:r>
          </w:p>
        </w:tc>
        <w:tc>
          <w:tcPr>
            <w:tcW w:type="dxa" w:w="2256"/>
          </w:tcPr>
          <w:p>
            <w:pPr>
              <w:spacing w:after="0" w:line="240" w:lineRule="auto"/>
              <w:jc w:val="right"/>
            </w:pPr>
            <w:r>
              <w:rPr>
                <w:b w:val="0"/>
                <w:sz w:val="18"/>
              </w:rPr>
              <w:t>62.9</w:t>
            </w:r>
          </w:p>
        </w:tc>
        <w:tc>
          <w:tcPr>
            <w:tcW w:type="dxa" w:w="2256"/>
          </w:tcPr>
          <w:p>
            <w:pPr>
              <w:spacing w:after="0" w:line="240" w:lineRule="auto"/>
              <w:jc w:val="right"/>
            </w:pPr>
            <w:r>
              <w:rPr>
                <w:b w:val="0"/>
                <w:sz w:val="18"/>
              </w:rPr>
              <w:t>28-35</w:t>
            </w:r>
          </w:p>
        </w:tc>
        <w:tc>
          <w:tcPr>
            <w:tcW w:type="dxa" w:w="2256"/>
          </w:tcPr>
          <w:p>
            <w:pPr>
              <w:spacing w:after="0" w:line="240" w:lineRule="auto"/>
              <w:jc w:val="right"/>
            </w:pPr>
            <w:r>
              <w:rPr>
                <w:b w:val="0"/>
                <w:sz w:val="18"/>
              </w:rPr>
              <w:t>31.5</w:t>
            </w:r>
          </w:p>
        </w:tc>
      </w:tr>
    </w:tbl>
    <w:p>
      <w:pPr>
        <w:spacing w:after="40"/>
      </w:pPr>
    </w:p>
    <w:p>
      <w:r>
        <w:rPr>
          <w:b/>
        </w:rPr>
        <w:t xml:space="preserve">Reading. </w:t>
      </w:r>
      <w:r>
        <w:t>Wheat and barley calibrate inside their literature ranges, which supports reading CAPRI's retention term as harvested removal for cereals. Maize and rapeseed did not, most likely because they share regions with crops the regression cannot separate, so literature midpoints were used.</w:t>
      </w:r>
    </w:p>
    <w:p>
      <w:pPr>
        <w:keepNext/>
        <w:jc w:val="center"/>
      </w:pPr>
      <w:r>
        <w:drawing>
          <wp:inline xmlns:a="http://schemas.openxmlformats.org/drawingml/2006/main" xmlns:pic="http://schemas.openxmlformats.org/drawingml/2006/picture">
            <wp:extent cx="3600000" cy="3115260"/>
            <wp:docPr id="1" name="Picture 1"/>
            <wp:cNvGraphicFramePr>
              <a:graphicFrameLocks noChangeAspect="1"/>
            </wp:cNvGraphicFramePr>
            <a:graphic>
              <a:graphicData uri="http://schemas.openxmlformats.org/drawingml/2006/picture">
                <pic:pic>
                  <pic:nvPicPr>
                    <pic:cNvPr id="0" name="hani_vs_capri.png"/>
                    <pic:cNvPicPr/>
                  </pic:nvPicPr>
                  <pic:blipFill>
                    <a:blip r:embed="rId10"/>
                    <a:stretch>
                      <a:fillRect/>
                    </a:stretch>
                  </pic:blipFill>
                  <pic:spPr>
                    <a:xfrm>
                      <a:off x="0" y="0"/>
                      <a:ext cx="3600000" cy="3115260"/>
                    </a:xfrm>
                    <a:prstGeom prst="rect"/>
                  </pic:spPr>
                </pic:pic>
              </a:graphicData>
            </a:graphic>
          </wp:inline>
        </w:drawing>
      </w:r>
    </w:p>
    <w:p>
      <w:pPr>
        <w:pStyle w:val="Caption"/>
      </w:pPr>
      <w:r>
        <w:t>Figure 1. HaNi-Crop mineral N on matched crops against CAPRI mineral N on all farmland, per region-year (log scales; 2000, 2009, 2018).</w:t>
      </w:r>
    </w:p>
    <w:p>
      <w:r>
        <w:rPr>
          <w:b/>
        </w:rPr>
        <w:t xml:space="preserve">Figure 1. </w:t>
      </w:r>
      <w:r>
        <w:t>The two sources agree on the pattern (correlation 0.81), and HaNi's matched crops account for 75% of CAPRI's mineral N. The ratio is lowest where grassland or olives and vines dominate (IE 0.10, CY 0.31, NL 0.40, EL 0.41), which HaNi does not cover. Raw HaNi rates changed by more than 50% from the previous year in 27% of 2017 rows, against 7% in a typical year. Using the HaNi level from the training years with CAPRI's annual series brought this to 0.1%.</w:t>
      </w:r>
    </w:p>
    <w:p>
      <w:pPr>
        <w:pStyle w:val="Heading1"/>
      </w:pPr>
      <w:r>
        <w:t>3. Model performance</w:t>
      </w:r>
    </w:p>
    <w:p>
      <w:pPr>
        <w:pStyle w:val="Caption"/>
        <w:keepNext/>
      </w:pPr>
      <w:r>
        <w:t>Table 3. Test results, mean of 5 training seeds. Later years: trained on 2000-2014, tested on 2017-2018. Held-out countries: 5 folds of whole countries, 2000-2016, with regions bordering a test region removed from training. Bias is predicted minus observed.</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871"/>
            <w:shd w:val="clear" w:color="auto" w:fill="E1E0D9"/>
          </w:tcPr>
          <w:p>
            <w:pPr>
              <w:spacing w:after="0" w:line="240" w:lineRule="auto"/>
            </w:pPr>
            <w:r>
              <w:rPr>
                <w:b/>
                <w:sz w:val="18"/>
              </w:rPr>
              <w:t>Output</w:t>
            </w:r>
          </w:p>
        </w:tc>
        <w:tc>
          <w:tcPr>
            <w:tcW w:type="dxa" w:w="2041"/>
            <w:shd w:val="clear" w:color="auto" w:fill="E1E0D9"/>
          </w:tcPr>
          <w:p>
            <w:pPr>
              <w:spacing w:after="0" w:line="240" w:lineRule="auto"/>
              <w:jc w:val="right"/>
            </w:pPr>
            <w:r>
              <w:rPr>
                <w:b/>
                <w:sz w:val="18"/>
              </w:rPr>
              <w:t>Test</w:t>
            </w:r>
          </w:p>
        </w:tc>
        <w:tc>
          <w:tcPr>
            <w:tcW w:type="dxa" w:w="1814"/>
            <w:shd w:val="clear" w:color="auto" w:fill="E1E0D9"/>
          </w:tcPr>
          <w:p>
            <w:pPr>
              <w:spacing w:after="0" w:line="240" w:lineRule="auto"/>
              <w:jc w:val="right"/>
            </w:pPr>
            <w:r>
              <w:rPr>
                <w:b/>
                <w:sz w:val="18"/>
              </w:rPr>
              <w:t>MAE (± sd over seeds)</w:t>
            </w:r>
          </w:p>
        </w:tc>
        <w:tc>
          <w:tcPr>
            <w:tcW w:type="dxa" w:w="1020"/>
            <w:shd w:val="clear" w:color="auto" w:fill="E1E0D9"/>
          </w:tcPr>
          <w:p>
            <w:pPr>
              <w:spacing w:after="0" w:line="240" w:lineRule="auto"/>
              <w:jc w:val="right"/>
            </w:pPr>
            <w:r>
              <w:rPr>
                <w:b/>
                <w:sz w:val="18"/>
              </w:rPr>
              <w:t>RMSE</w:t>
            </w:r>
          </w:p>
        </w:tc>
        <w:tc>
          <w:tcPr>
            <w:tcW w:type="dxa" w:w="1020"/>
            <w:shd w:val="clear" w:color="auto" w:fill="E1E0D9"/>
          </w:tcPr>
          <w:p>
            <w:pPr>
              <w:spacing w:after="0" w:line="240" w:lineRule="auto"/>
              <w:jc w:val="right"/>
            </w:pPr>
            <w:r>
              <w:rPr>
                <w:b/>
                <w:sz w:val="18"/>
              </w:rPr>
              <w:t>Bias</w:t>
            </w:r>
          </w:p>
        </w:tc>
        <w:tc>
          <w:tcPr>
            <w:tcW w:type="dxa" w:w="907"/>
            <w:shd w:val="clear" w:color="auto" w:fill="E1E0D9"/>
          </w:tcPr>
          <w:p>
            <w:pPr>
              <w:spacing w:after="0" w:line="240" w:lineRule="auto"/>
              <w:jc w:val="right"/>
            </w:pPr>
            <w:r>
              <w:rPr>
                <w:b/>
                <w:sz w:val="18"/>
              </w:rPr>
              <w:t>R²</w:t>
            </w:r>
          </w:p>
        </w:tc>
      </w:tr>
      <w:tr>
        <w:tc>
          <w:tcPr>
            <w:tcW w:type="dxa" w:w="1871"/>
          </w:tcPr>
          <w:p>
            <w:pPr>
              <w:spacing w:after="0" w:line="240" w:lineRule="auto"/>
            </w:pPr>
            <w:r>
              <w:rPr>
                <w:b w:val="0"/>
                <w:sz w:val="18"/>
              </w:rPr>
              <w:t>Yield (t/ha)</w:t>
            </w:r>
          </w:p>
        </w:tc>
        <w:tc>
          <w:tcPr>
            <w:tcW w:type="dxa" w:w="2041"/>
          </w:tcPr>
          <w:p>
            <w:pPr>
              <w:spacing w:after="0" w:line="240" w:lineRule="auto"/>
              <w:jc w:val="right"/>
            </w:pPr>
            <w:r>
              <w:rPr>
                <w:b w:val="0"/>
                <w:sz w:val="18"/>
              </w:rPr>
              <w:t>Later years (2017-2018)</w:t>
            </w:r>
          </w:p>
        </w:tc>
        <w:tc>
          <w:tcPr>
            <w:tcW w:type="dxa" w:w="1814"/>
          </w:tcPr>
          <w:p>
            <w:pPr>
              <w:spacing w:after="0" w:line="240" w:lineRule="auto"/>
              <w:jc w:val="right"/>
            </w:pPr>
            <w:r>
              <w:rPr>
                <w:b w:val="0"/>
                <w:sz w:val="18"/>
              </w:rPr>
              <w:t>0.85 ± 0.03</w:t>
            </w:r>
          </w:p>
        </w:tc>
        <w:tc>
          <w:tcPr>
            <w:tcW w:type="dxa" w:w="1020"/>
          </w:tcPr>
          <w:p>
            <w:pPr>
              <w:spacing w:after="0" w:line="240" w:lineRule="auto"/>
              <w:jc w:val="right"/>
            </w:pPr>
            <w:r>
              <w:rPr>
                <w:b w:val="0"/>
                <w:sz w:val="18"/>
              </w:rPr>
              <w:t>1.15</w:t>
            </w:r>
          </w:p>
        </w:tc>
        <w:tc>
          <w:tcPr>
            <w:tcW w:type="dxa" w:w="1020"/>
          </w:tcPr>
          <w:p>
            <w:pPr>
              <w:spacing w:after="0" w:line="240" w:lineRule="auto"/>
              <w:jc w:val="right"/>
            </w:pPr>
            <w:r>
              <w:rPr>
                <w:b w:val="0"/>
                <w:sz w:val="18"/>
              </w:rPr>
              <w:t>+0.35</w:t>
            </w:r>
          </w:p>
        </w:tc>
        <w:tc>
          <w:tcPr>
            <w:tcW w:type="dxa" w:w="907"/>
          </w:tcPr>
          <w:p>
            <w:pPr>
              <w:spacing w:after="0" w:line="240" w:lineRule="auto"/>
              <w:jc w:val="right"/>
            </w:pPr>
            <w:r>
              <w:rPr>
                <w:b w:val="0"/>
                <w:sz w:val="18"/>
              </w:rPr>
              <w:t>0.81</w:t>
            </w:r>
          </w:p>
        </w:tc>
      </w:tr>
      <w:tr>
        <w:tc>
          <w:tcPr>
            <w:tcW w:type="dxa" w:w="1871"/>
          </w:tcPr>
          <w:p>
            <w:pPr>
              <w:spacing w:after="0" w:line="240" w:lineRule="auto"/>
            </w:pPr>
            <w:r>
              <w:rPr>
                <w:b w:val="0"/>
                <w:sz w:val="18"/>
              </w:rPr>
              <w:t>Yield (t/ha)</w:t>
            </w:r>
          </w:p>
        </w:tc>
        <w:tc>
          <w:tcPr>
            <w:tcW w:type="dxa" w:w="2041"/>
          </w:tcPr>
          <w:p>
            <w:pPr>
              <w:spacing w:after="0" w:line="240" w:lineRule="auto"/>
              <w:jc w:val="right"/>
            </w:pPr>
            <w:r>
              <w:rPr>
                <w:b w:val="0"/>
                <w:sz w:val="18"/>
              </w:rPr>
              <w:t>Held-out countries</w:t>
            </w:r>
          </w:p>
        </w:tc>
        <w:tc>
          <w:tcPr>
            <w:tcW w:type="dxa" w:w="1814"/>
          </w:tcPr>
          <w:p>
            <w:pPr>
              <w:spacing w:after="0" w:line="240" w:lineRule="auto"/>
              <w:jc w:val="right"/>
            </w:pPr>
            <w:r>
              <w:rPr>
                <w:b w:val="0"/>
                <w:sz w:val="18"/>
              </w:rPr>
              <w:t>1.22 ± 0.02</w:t>
            </w:r>
          </w:p>
        </w:tc>
        <w:tc>
          <w:tcPr>
            <w:tcW w:type="dxa" w:w="1020"/>
          </w:tcPr>
          <w:p>
            <w:pPr>
              <w:spacing w:after="0" w:line="240" w:lineRule="auto"/>
              <w:jc w:val="right"/>
            </w:pPr>
            <w:r>
              <w:rPr>
                <w:b w:val="0"/>
                <w:sz w:val="18"/>
              </w:rPr>
              <w:t>1.69</w:t>
            </w:r>
          </w:p>
        </w:tc>
        <w:tc>
          <w:tcPr>
            <w:tcW w:type="dxa" w:w="1020"/>
          </w:tcPr>
          <w:p>
            <w:pPr>
              <w:spacing w:after="0" w:line="240" w:lineRule="auto"/>
              <w:jc w:val="right"/>
            </w:pPr>
            <w:r>
              <w:rPr>
                <w:b w:val="0"/>
                <w:sz w:val="18"/>
              </w:rPr>
              <w:t>+0.18</w:t>
            </w:r>
          </w:p>
        </w:tc>
        <w:tc>
          <w:tcPr>
            <w:tcW w:type="dxa" w:w="907"/>
          </w:tcPr>
          <w:p>
            <w:pPr>
              <w:spacing w:after="0" w:line="240" w:lineRule="auto"/>
              <w:jc w:val="right"/>
            </w:pPr>
            <w:r>
              <w:rPr>
                <w:b w:val="0"/>
                <w:sz w:val="18"/>
              </w:rPr>
              <w:t>0.59</w:t>
            </w:r>
          </w:p>
        </w:tc>
      </w:tr>
      <w:tr>
        <w:tc>
          <w:tcPr>
            <w:tcW w:type="dxa" w:w="1871"/>
          </w:tcPr>
          <w:p>
            <w:pPr>
              <w:spacing w:after="0" w:line="240" w:lineRule="auto"/>
            </w:pPr>
            <w:r>
              <w:rPr>
                <w:b w:val="0"/>
                <w:sz w:val="18"/>
              </w:rPr>
              <w:t>Removal (kg N/ha)</w:t>
            </w:r>
          </w:p>
        </w:tc>
        <w:tc>
          <w:tcPr>
            <w:tcW w:type="dxa" w:w="2041"/>
          </w:tcPr>
          <w:p>
            <w:pPr>
              <w:spacing w:after="0" w:line="240" w:lineRule="auto"/>
              <w:jc w:val="right"/>
            </w:pPr>
            <w:r>
              <w:rPr>
                <w:b w:val="0"/>
                <w:sz w:val="18"/>
              </w:rPr>
              <w:t>Later years (2017-2018)</w:t>
            </w:r>
          </w:p>
        </w:tc>
        <w:tc>
          <w:tcPr>
            <w:tcW w:type="dxa" w:w="1814"/>
          </w:tcPr>
          <w:p>
            <w:pPr>
              <w:spacing w:after="0" w:line="240" w:lineRule="auto"/>
              <w:jc w:val="right"/>
            </w:pPr>
            <w:r>
              <w:rPr>
                <w:b w:val="0"/>
                <w:sz w:val="18"/>
              </w:rPr>
              <w:t>15.7 ± 0.6</w:t>
            </w:r>
          </w:p>
        </w:tc>
        <w:tc>
          <w:tcPr>
            <w:tcW w:type="dxa" w:w="1020"/>
          </w:tcPr>
          <w:p>
            <w:pPr>
              <w:spacing w:after="0" w:line="240" w:lineRule="auto"/>
              <w:jc w:val="right"/>
            </w:pPr>
            <w:r>
              <w:rPr>
                <w:b w:val="0"/>
                <w:sz w:val="18"/>
              </w:rPr>
              <w:t>20.3</w:t>
            </w:r>
          </w:p>
        </w:tc>
        <w:tc>
          <w:tcPr>
            <w:tcW w:type="dxa" w:w="1020"/>
          </w:tcPr>
          <w:p>
            <w:pPr>
              <w:spacing w:after="0" w:line="240" w:lineRule="auto"/>
              <w:jc w:val="right"/>
            </w:pPr>
            <w:r>
              <w:rPr>
                <w:b w:val="0"/>
                <w:sz w:val="18"/>
              </w:rPr>
              <w:t>+7.0</w:t>
            </w:r>
          </w:p>
        </w:tc>
        <w:tc>
          <w:tcPr>
            <w:tcW w:type="dxa" w:w="907"/>
          </w:tcPr>
          <w:p>
            <w:pPr>
              <w:spacing w:after="0" w:line="240" w:lineRule="auto"/>
              <w:jc w:val="right"/>
            </w:pPr>
            <w:r>
              <w:rPr>
                <w:b w:val="0"/>
                <w:sz w:val="18"/>
              </w:rPr>
              <w:t>0.68</w:t>
            </w:r>
          </w:p>
        </w:tc>
      </w:tr>
      <w:tr>
        <w:tc>
          <w:tcPr>
            <w:tcW w:type="dxa" w:w="1871"/>
          </w:tcPr>
          <w:p>
            <w:pPr>
              <w:spacing w:after="0" w:line="240" w:lineRule="auto"/>
            </w:pPr>
            <w:r>
              <w:rPr>
                <w:b w:val="0"/>
                <w:sz w:val="18"/>
              </w:rPr>
              <w:t>Removal (kg N/ha)</w:t>
            </w:r>
          </w:p>
        </w:tc>
        <w:tc>
          <w:tcPr>
            <w:tcW w:type="dxa" w:w="2041"/>
          </w:tcPr>
          <w:p>
            <w:pPr>
              <w:spacing w:after="0" w:line="240" w:lineRule="auto"/>
              <w:jc w:val="right"/>
            </w:pPr>
            <w:r>
              <w:rPr>
                <w:b w:val="0"/>
                <w:sz w:val="18"/>
              </w:rPr>
              <w:t>Held-out countries</w:t>
            </w:r>
          </w:p>
        </w:tc>
        <w:tc>
          <w:tcPr>
            <w:tcW w:type="dxa" w:w="1814"/>
          </w:tcPr>
          <w:p>
            <w:pPr>
              <w:spacing w:after="0" w:line="240" w:lineRule="auto"/>
              <w:jc w:val="right"/>
            </w:pPr>
            <w:r>
              <w:rPr>
                <w:b w:val="0"/>
                <w:sz w:val="18"/>
              </w:rPr>
              <w:t>22.5 ± 0.5</w:t>
            </w:r>
          </w:p>
        </w:tc>
        <w:tc>
          <w:tcPr>
            <w:tcW w:type="dxa" w:w="1020"/>
          </w:tcPr>
          <w:p>
            <w:pPr>
              <w:spacing w:after="0" w:line="240" w:lineRule="auto"/>
              <w:jc w:val="right"/>
            </w:pPr>
            <w:r>
              <w:rPr>
                <w:b w:val="0"/>
                <w:sz w:val="18"/>
              </w:rPr>
              <w:t>29.4</w:t>
            </w:r>
          </w:p>
        </w:tc>
        <w:tc>
          <w:tcPr>
            <w:tcW w:type="dxa" w:w="1020"/>
          </w:tcPr>
          <w:p>
            <w:pPr>
              <w:spacing w:after="0" w:line="240" w:lineRule="auto"/>
              <w:jc w:val="right"/>
            </w:pPr>
            <w:r>
              <w:rPr>
                <w:b w:val="0"/>
                <w:sz w:val="18"/>
              </w:rPr>
              <w:t>+3.9</w:t>
            </w:r>
          </w:p>
        </w:tc>
        <w:tc>
          <w:tcPr>
            <w:tcW w:type="dxa" w:w="907"/>
          </w:tcPr>
          <w:p>
            <w:pPr>
              <w:spacing w:after="0" w:line="240" w:lineRule="auto"/>
              <w:jc w:val="right"/>
            </w:pPr>
            <w:r>
              <w:rPr>
                <w:b w:val="0"/>
                <w:sz w:val="18"/>
              </w:rPr>
              <w:t>0.41</w:t>
            </w:r>
          </w:p>
        </w:tc>
      </w:tr>
      <w:tr>
        <w:tc>
          <w:tcPr>
            <w:tcW w:type="dxa" w:w="1871"/>
          </w:tcPr>
          <w:p>
            <w:pPr>
              <w:spacing w:after="0" w:line="240" w:lineRule="auto"/>
            </w:pPr>
            <w:r>
              <w:rPr>
                <w:b w:val="0"/>
                <w:sz w:val="18"/>
              </w:rPr>
              <w:t>Surplus (kg N/ha)</w:t>
            </w:r>
          </w:p>
        </w:tc>
        <w:tc>
          <w:tcPr>
            <w:tcW w:type="dxa" w:w="2041"/>
          </w:tcPr>
          <w:p>
            <w:pPr>
              <w:spacing w:after="0" w:line="240" w:lineRule="auto"/>
              <w:jc w:val="right"/>
            </w:pPr>
            <w:r>
              <w:rPr>
                <w:b w:val="0"/>
                <w:sz w:val="18"/>
              </w:rPr>
              <w:t>Later years (2017-2018)</w:t>
            </w:r>
          </w:p>
        </w:tc>
        <w:tc>
          <w:tcPr>
            <w:tcW w:type="dxa" w:w="1814"/>
          </w:tcPr>
          <w:p>
            <w:pPr>
              <w:spacing w:after="0" w:line="240" w:lineRule="auto"/>
              <w:jc w:val="right"/>
            </w:pPr>
            <w:r>
              <w:rPr>
                <w:b w:val="0"/>
                <w:sz w:val="18"/>
              </w:rPr>
              <w:t>10.2 ± 0.5</w:t>
            </w:r>
          </w:p>
        </w:tc>
        <w:tc>
          <w:tcPr>
            <w:tcW w:type="dxa" w:w="1020"/>
          </w:tcPr>
          <w:p>
            <w:pPr>
              <w:spacing w:after="0" w:line="240" w:lineRule="auto"/>
              <w:jc w:val="right"/>
            </w:pPr>
            <w:r>
              <w:rPr>
                <w:b w:val="0"/>
                <w:sz w:val="18"/>
              </w:rPr>
              <w:t>13.2</w:t>
            </w:r>
          </w:p>
        </w:tc>
        <w:tc>
          <w:tcPr>
            <w:tcW w:type="dxa" w:w="1020"/>
          </w:tcPr>
          <w:p>
            <w:pPr>
              <w:spacing w:after="0" w:line="240" w:lineRule="auto"/>
              <w:jc w:val="right"/>
            </w:pPr>
            <w:r>
              <w:rPr>
                <w:b w:val="0"/>
                <w:sz w:val="18"/>
              </w:rPr>
              <w:t>-5.5</w:t>
            </w:r>
          </w:p>
        </w:tc>
        <w:tc>
          <w:tcPr>
            <w:tcW w:type="dxa" w:w="907"/>
          </w:tcPr>
          <w:p>
            <w:pPr>
              <w:spacing w:after="0" w:line="240" w:lineRule="auto"/>
              <w:jc w:val="right"/>
            </w:pPr>
            <w:r>
              <w:rPr>
                <w:b w:val="0"/>
                <w:sz w:val="18"/>
              </w:rPr>
              <w:t>0.98</w:t>
            </w:r>
          </w:p>
        </w:tc>
      </w:tr>
      <w:tr>
        <w:tc>
          <w:tcPr>
            <w:tcW w:type="dxa" w:w="1871"/>
          </w:tcPr>
          <w:p>
            <w:pPr>
              <w:spacing w:after="0" w:line="240" w:lineRule="auto"/>
            </w:pPr>
            <w:r>
              <w:rPr>
                <w:b w:val="0"/>
                <w:sz w:val="18"/>
              </w:rPr>
              <w:t>Surplus (kg N/ha)</w:t>
            </w:r>
          </w:p>
        </w:tc>
        <w:tc>
          <w:tcPr>
            <w:tcW w:type="dxa" w:w="2041"/>
          </w:tcPr>
          <w:p>
            <w:pPr>
              <w:spacing w:after="0" w:line="240" w:lineRule="auto"/>
              <w:jc w:val="right"/>
            </w:pPr>
            <w:r>
              <w:rPr>
                <w:b w:val="0"/>
                <w:sz w:val="18"/>
              </w:rPr>
              <w:t>Held-out countries</w:t>
            </w:r>
          </w:p>
        </w:tc>
        <w:tc>
          <w:tcPr>
            <w:tcW w:type="dxa" w:w="1814"/>
          </w:tcPr>
          <w:p>
            <w:pPr>
              <w:spacing w:after="0" w:line="240" w:lineRule="auto"/>
              <w:jc w:val="right"/>
            </w:pPr>
            <w:r>
              <w:rPr>
                <w:b w:val="0"/>
                <w:sz w:val="18"/>
              </w:rPr>
              <w:t>15.7 ± 0.3</w:t>
            </w:r>
          </w:p>
        </w:tc>
        <w:tc>
          <w:tcPr>
            <w:tcW w:type="dxa" w:w="1020"/>
          </w:tcPr>
          <w:p>
            <w:pPr>
              <w:spacing w:after="0" w:line="240" w:lineRule="auto"/>
              <w:jc w:val="right"/>
            </w:pPr>
            <w:r>
              <w:rPr>
                <w:b w:val="0"/>
                <w:sz w:val="18"/>
              </w:rPr>
              <w:t>20.7</w:t>
            </w:r>
          </w:p>
        </w:tc>
        <w:tc>
          <w:tcPr>
            <w:tcW w:type="dxa" w:w="1020"/>
          </w:tcPr>
          <w:p>
            <w:pPr>
              <w:spacing w:after="0" w:line="240" w:lineRule="auto"/>
              <w:jc w:val="right"/>
            </w:pPr>
            <w:r>
              <w:rPr>
                <w:b w:val="0"/>
                <w:sz w:val="18"/>
              </w:rPr>
              <w:t>-3.4</w:t>
            </w:r>
          </w:p>
        </w:tc>
        <w:tc>
          <w:tcPr>
            <w:tcW w:type="dxa" w:w="907"/>
          </w:tcPr>
          <w:p>
            <w:pPr>
              <w:spacing w:after="0" w:line="240" w:lineRule="auto"/>
              <w:jc w:val="right"/>
            </w:pPr>
            <w:r>
              <w:rPr>
                <w:b w:val="0"/>
                <w:sz w:val="18"/>
              </w:rPr>
              <w:t>0.94</w:t>
            </w:r>
          </w:p>
        </w:tc>
      </w:tr>
    </w:tbl>
    <w:p>
      <w:pPr>
        <w:spacing w:after="40"/>
      </w:pPr>
    </w:p>
    <w:p>
      <w:r>
        <w:rPr>
          <w:b/>
        </w:rPr>
        <w:t xml:space="preserve">Reading. </w:t>
      </w:r>
      <w:r>
        <w:t>On later years the model explains 81% of the variation in yield, and the spread across seeds is small (yield MAE ± 0.032 t/ha), so the result does not depend on a lucky start. On countries it never saw, the yield error is 44% higher, because no data from the region itself was available in training and the model has to rely on location and inputs alone.</w:t>
      </w:r>
    </w:p>
    <w:p>
      <w:r>
        <w:rPr>
          <w:b/>
        </w:rPr>
        <w:t xml:space="preserve">Reference. </w:t>
      </w:r>
      <w:r>
        <w:t>As a reference point, reusing each region's own past average yield (which the model is not given) has an error of 0.76 t/ha on later years, slightly better than the model's 0.85. Where no history exists, as in held-out countries, that approach can only use a crop-wide average and its error is 1.76 t/ha, against 1.22 for the model. The model's value is that it works in regions without records and returns removal and surplus that balance, not that it beats a region's own past average where one exists.</w:t>
      </w:r>
    </w:p>
    <w:p>
      <w:r>
        <w:rPr>
          <w:b/>
        </w:rPr>
        <w:t xml:space="preserve">Caution. </w:t>
      </w:r>
      <w:r>
        <w:t>Surplus R² is above 0.9 in both tests. This mostly reflects the algebra of the budget: once inputs are known, surplus follows from removal. Yield and removal errors are the informative measures.</w:t>
      </w:r>
    </w:p>
    <w:p>
      <w:pPr>
        <w:keepNext/>
        <w:jc w:val="center"/>
      </w:pPr>
      <w:r>
        <w:drawing>
          <wp:inline xmlns:a="http://schemas.openxmlformats.org/drawingml/2006/main" xmlns:pic="http://schemas.openxmlformats.org/drawingml/2006/picture">
            <wp:extent cx="5760000" cy="2832199"/>
            <wp:docPr id="2" name="Picture 2"/>
            <wp:cNvGraphicFramePr>
              <a:graphicFrameLocks noChangeAspect="1"/>
            </wp:cNvGraphicFramePr>
            <a:graphic>
              <a:graphicData uri="http://schemas.openxmlformats.org/drawingml/2006/picture">
                <pic:pic>
                  <pic:nvPicPr>
                    <pic:cNvPr id="0" name="accuracy_by_crop.png"/>
                    <pic:cNvPicPr/>
                  </pic:nvPicPr>
                  <pic:blipFill>
                    <a:blip r:embed="rId11"/>
                    <a:stretch>
                      <a:fillRect/>
                    </a:stretch>
                  </pic:blipFill>
                  <pic:spPr>
                    <a:xfrm>
                      <a:off x="0" y="0"/>
                      <a:ext cx="5760000" cy="2832199"/>
                    </a:xfrm>
                    <a:prstGeom prst="rect"/>
                  </pic:spPr>
                </pic:pic>
              </a:graphicData>
            </a:graphic>
          </wp:inline>
        </w:drawing>
      </w:r>
    </w:p>
    <w:p>
      <w:pPr>
        <w:pStyle w:val="Caption"/>
      </w:pPr>
      <w:r>
        <w:t>Figure 2. Yield and surplus MAE by crop for the two tests.</w:t>
      </w:r>
    </w:p>
    <w:p>
      <w:r>
        <w:rPr>
          <w:b/>
        </w:rPr>
        <w:t xml:space="preserve">Figure 2. </w:t>
      </w:r>
      <w:r>
        <w:t>Wheat and barley were predicted best on later years (R² 0.75 and 0.69). Maize had the largest absolute error and rapeseed the weakest R², probably because rapeseed yields vary little between regions compared with their year-to-year swings. On held-out countries the R² within each crop ranges from 0.08 for maize to 0.54 for wheat, so the model captures differences between regions well for wheat but poorly for maize.</w:t>
      </w:r>
    </w:p>
    <w:p>
      <w:pPr>
        <w:pStyle w:val="Caption"/>
        <w:keepNext/>
      </w:pPr>
      <w:r>
        <w:t>Table 4. Yield accuracy by crop.</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E1E0D9"/>
          </w:tcPr>
          <w:p>
            <w:pPr>
              <w:spacing w:after="0" w:line="240" w:lineRule="auto"/>
            </w:pPr>
            <w:r>
              <w:rPr>
                <w:b/>
                <w:sz w:val="18"/>
              </w:rPr>
              <w:t>Crop</w:t>
            </w:r>
          </w:p>
        </w:tc>
        <w:tc>
          <w:tcPr>
            <w:tcW w:type="dxa" w:w="1805"/>
            <w:shd w:val="clear" w:color="auto" w:fill="E1E0D9"/>
          </w:tcPr>
          <w:p>
            <w:pPr>
              <w:spacing w:after="0" w:line="240" w:lineRule="auto"/>
              <w:jc w:val="right"/>
            </w:pPr>
            <w:r>
              <w:rPr>
                <w:b/>
                <w:sz w:val="18"/>
              </w:rPr>
              <w:t>Later years MAE, t/ha</w:t>
            </w:r>
          </w:p>
        </w:tc>
        <w:tc>
          <w:tcPr>
            <w:tcW w:type="dxa" w:w="1805"/>
            <w:shd w:val="clear" w:color="auto" w:fill="E1E0D9"/>
          </w:tcPr>
          <w:p>
            <w:pPr>
              <w:spacing w:after="0" w:line="240" w:lineRule="auto"/>
              <w:jc w:val="right"/>
            </w:pPr>
            <w:r>
              <w:rPr>
                <w:b/>
                <w:sz w:val="18"/>
              </w:rPr>
              <w:t>Later years R²</w:t>
            </w:r>
          </w:p>
        </w:tc>
        <w:tc>
          <w:tcPr>
            <w:tcW w:type="dxa" w:w="1805"/>
            <w:shd w:val="clear" w:color="auto" w:fill="E1E0D9"/>
          </w:tcPr>
          <w:p>
            <w:pPr>
              <w:spacing w:after="0" w:line="240" w:lineRule="auto"/>
              <w:jc w:val="right"/>
            </w:pPr>
            <w:r>
              <w:rPr>
                <w:b/>
                <w:sz w:val="18"/>
              </w:rPr>
              <w:t>Held-out MAE, t/ha</w:t>
            </w:r>
          </w:p>
        </w:tc>
        <w:tc>
          <w:tcPr>
            <w:tcW w:type="dxa" w:w="1805"/>
            <w:shd w:val="clear" w:color="auto" w:fill="E1E0D9"/>
          </w:tcPr>
          <w:p>
            <w:pPr>
              <w:spacing w:after="0" w:line="240" w:lineRule="auto"/>
              <w:jc w:val="right"/>
            </w:pPr>
            <w:r>
              <w:rPr>
                <w:b/>
                <w:sz w:val="18"/>
              </w:rPr>
              <w:t>Held-out R²</w:t>
            </w:r>
          </w:p>
        </w:tc>
      </w:tr>
      <w:tr>
        <w:tc>
          <w:tcPr>
            <w:tcW w:type="dxa" w:w="1805"/>
          </w:tcPr>
          <w:p>
            <w:pPr>
              <w:spacing w:after="0" w:line="240" w:lineRule="auto"/>
            </w:pPr>
            <w:r>
              <w:rPr>
                <w:b w:val="0"/>
                <w:sz w:val="18"/>
              </w:rPr>
              <w:t>Soft wheat</w:t>
            </w:r>
          </w:p>
        </w:tc>
        <w:tc>
          <w:tcPr>
            <w:tcW w:type="dxa" w:w="1805"/>
          </w:tcPr>
          <w:p>
            <w:pPr>
              <w:spacing w:after="0" w:line="240" w:lineRule="auto"/>
              <w:jc w:val="right"/>
            </w:pPr>
            <w:r>
              <w:rPr>
                <w:b w:val="0"/>
                <w:sz w:val="18"/>
              </w:rPr>
              <w:t>0.81</w:t>
            </w:r>
          </w:p>
        </w:tc>
        <w:tc>
          <w:tcPr>
            <w:tcW w:type="dxa" w:w="1805"/>
          </w:tcPr>
          <w:p>
            <w:pPr>
              <w:spacing w:after="0" w:line="240" w:lineRule="auto"/>
              <w:jc w:val="right"/>
            </w:pPr>
            <w:r>
              <w:rPr>
                <w:b w:val="0"/>
                <w:sz w:val="18"/>
              </w:rPr>
              <w:t>0.75</w:t>
            </w:r>
          </w:p>
        </w:tc>
        <w:tc>
          <w:tcPr>
            <w:tcW w:type="dxa" w:w="1805"/>
          </w:tcPr>
          <w:p>
            <w:pPr>
              <w:spacing w:after="0" w:line="240" w:lineRule="auto"/>
              <w:jc w:val="right"/>
            </w:pPr>
            <w:r>
              <w:rPr>
                <w:b w:val="0"/>
                <w:sz w:val="18"/>
              </w:rPr>
              <w:t>1.15</w:t>
            </w:r>
          </w:p>
        </w:tc>
        <w:tc>
          <w:tcPr>
            <w:tcW w:type="dxa" w:w="1805"/>
          </w:tcPr>
          <w:p>
            <w:pPr>
              <w:spacing w:after="0" w:line="240" w:lineRule="auto"/>
              <w:jc w:val="right"/>
            </w:pPr>
            <w:r>
              <w:rPr>
                <w:b w:val="0"/>
                <w:sz w:val="18"/>
              </w:rPr>
              <w:t>0.54</w:t>
            </w:r>
          </w:p>
        </w:tc>
      </w:tr>
      <w:tr>
        <w:tc>
          <w:tcPr>
            <w:tcW w:type="dxa" w:w="1805"/>
          </w:tcPr>
          <w:p>
            <w:pPr>
              <w:spacing w:after="0" w:line="240" w:lineRule="auto"/>
            </w:pPr>
            <w:r>
              <w:rPr>
                <w:b w:val="0"/>
                <w:sz w:val="18"/>
              </w:rPr>
              <w:t>Barley</w:t>
            </w:r>
          </w:p>
        </w:tc>
        <w:tc>
          <w:tcPr>
            <w:tcW w:type="dxa" w:w="1805"/>
          </w:tcPr>
          <w:p>
            <w:pPr>
              <w:spacing w:after="0" w:line="240" w:lineRule="auto"/>
              <w:jc w:val="right"/>
            </w:pPr>
            <w:r>
              <w:rPr>
                <w:b w:val="0"/>
                <w:sz w:val="18"/>
              </w:rPr>
              <w:t>0.77</w:t>
            </w:r>
          </w:p>
        </w:tc>
        <w:tc>
          <w:tcPr>
            <w:tcW w:type="dxa" w:w="1805"/>
          </w:tcPr>
          <w:p>
            <w:pPr>
              <w:spacing w:after="0" w:line="240" w:lineRule="auto"/>
              <w:jc w:val="right"/>
            </w:pPr>
            <w:r>
              <w:rPr>
                <w:b w:val="0"/>
                <w:sz w:val="18"/>
              </w:rPr>
              <w:t>0.69</w:t>
            </w:r>
          </w:p>
        </w:tc>
        <w:tc>
          <w:tcPr>
            <w:tcW w:type="dxa" w:w="1805"/>
          </w:tcPr>
          <w:p>
            <w:pPr>
              <w:spacing w:after="0" w:line="240" w:lineRule="auto"/>
              <w:jc w:val="right"/>
            </w:pPr>
            <w:r>
              <w:rPr>
                <w:b w:val="0"/>
                <w:sz w:val="18"/>
              </w:rPr>
              <w:t>1.20</w:t>
            </w:r>
          </w:p>
        </w:tc>
        <w:tc>
          <w:tcPr>
            <w:tcW w:type="dxa" w:w="1805"/>
          </w:tcPr>
          <w:p>
            <w:pPr>
              <w:spacing w:after="0" w:line="240" w:lineRule="auto"/>
              <w:jc w:val="right"/>
            </w:pPr>
            <w:r>
              <w:rPr>
                <w:b w:val="0"/>
                <w:sz w:val="18"/>
              </w:rPr>
              <w:t>0.25</w:t>
            </w:r>
          </w:p>
        </w:tc>
      </w:tr>
      <w:tr>
        <w:tc>
          <w:tcPr>
            <w:tcW w:type="dxa" w:w="1805"/>
          </w:tcPr>
          <w:p>
            <w:pPr>
              <w:spacing w:after="0" w:line="240" w:lineRule="auto"/>
            </w:pPr>
            <w:r>
              <w:rPr>
                <w:b w:val="0"/>
                <w:sz w:val="18"/>
              </w:rPr>
              <w:t>Grain maize</w:t>
            </w:r>
          </w:p>
        </w:tc>
        <w:tc>
          <w:tcPr>
            <w:tcW w:type="dxa" w:w="1805"/>
          </w:tcPr>
          <w:p>
            <w:pPr>
              <w:spacing w:after="0" w:line="240" w:lineRule="auto"/>
              <w:jc w:val="right"/>
            </w:pPr>
            <w:r>
              <w:rPr>
                <w:b w:val="0"/>
                <w:sz w:val="18"/>
              </w:rPr>
              <w:t>1.35</w:t>
            </w:r>
          </w:p>
        </w:tc>
        <w:tc>
          <w:tcPr>
            <w:tcW w:type="dxa" w:w="1805"/>
          </w:tcPr>
          <w:p>
            <w:pPr>
              <w:spacing w:after="0" w:line="240" w:lineRule="auto"/>
              <w:jc w:val="right"/>
            </w:pPr>
            <w:r>
              <w:rPr>
                <w:b w:val="0"/>
                <w:sz w:val="18"/>
              </w:rPr>
              <w:t>0.44</w:t>
            </w:r>
          </w:p>
        </w:tc>
        <w:tc>
          <w:tcPr>
            <w:tcW w:type="dxa" w:w="1805"/>
          </w:tcPr>
          <w:p>
            <w:pPr>
              <w:spacing w:after="0" w:line="240" w:lineRule="auto"/>
              <w:jc w:val="right"/>
            </w:pPr>
            <w:r>
              <w:rPr>
                <w:b w:val="0"/>
                <w:sz w:val="18"/>
              </w:rPr>
              <w:t>1.99</w:t>
            </w:r>
          </w:p>
        </w:tc>
        <w:tc>
          <w:tcPr>
            <w:tcW w:type="dxa" w:w="1805"/>
          </w:tcPr>
          <w:p>
            <w:pPr>
              <w:spacing w:after="0" w:line="240" w:lineRule="auto"/>
              <w:jc w:val="right"/>
            </w:pPr>
            <w:r>
              <w:rPr>
                <w:b w:val="0"/>
                <w:sz w:val="18"/>
              </w:rPr>
              <w:t>0.08</w:t>
            </w:r>
          </w:p>
        </w:tc>
      </w:tr>
      <w:tr>
        <w:tc>
          <w:tcPr>
            <w:tcW w:type="dxa" w:w="1805"/>
          </w:tcPr>
          <w:p>
            <w:pPr>
              <w:spacing w:after="0" w:line="240" w:lineRule="auto"/>
            </w:pPr>
            <w:r>
              <w:rPr>
                <w:b w:val="0"/>
                <w:sz w:val="18"/>
              </w:rPr>
              <w:t>Rapeseed</w:t>
            </w:r>
          </w:p>
        </w:tc>
        <w:tc>
          <w:tcPr>
            <w:tcW w:type="dxa" w:w="1805"/>
          </w:tcPr>
          <w:p>
            <w:pPr>
              <w:spacing w:after="0" w:line="240" w:lineRule="auto"/>
              <w:jc w:val="right"/>
            </w:pPr>
            <w:r>
              <w:rPr>
                <w:b w:val="0"/>
                <w:sz w:val="18"/>
              </w:rPr>
              <w:t>0.49</w:t>
            </w:r>
          </w:p>
        </w:tc>
        <w:tc>
          <w:tcPr>
            <w:tcW w:type="dxa" w:w="1805"/>
          </w:tcPr>
          <w:p>
            <w:pPr>
              <w:spacing w:after="0" w:line="240" w:lineRule="auto"/>
              <w:jc w:val="right"/>
            </w:pPr>
            <w:r>
              <w:rPr>
                <w:b w:val="0"/>
                <w:sz w:val="18"/>
              </w:rPr>
              <w:t>0.16</w:t>
            </w:r>
          </w:p>
        </w:tc>
        <w:tc>
          <w:tcPr>
            <w:tcW w:type="dxa" w:w="1805"/>
          </w:tcPr>
          <w:p>
            <w:pPr>
              <w:spacing w:after="0" w:line="240" w:lineRule="auto"/>
              <w:jc w:val="right"/>
            </w:pPr>
            <w:r>
              <w:rPr>
                <w:b w:val="0"/>
                <w:sz w:val="18"/>
              </w:rPr>
              <w:t>0.52</w:t>
            </w:r>
          </w:p>
        </w:tc>
        <w:tc>
          <w:tcPr>
            <w:tcW w:type="dxa" w:w="1805"/>
          </w:tcPr>
          <w:p>
            <w:pPr>
              <w:spacing w:after="0" w:line="240" w:lineRule="auto"/>
              <w:jc w:val="right"/>
            </w:pPr>
            <w:r>
              <w:rPr>
                <w:b w:val="0"/>
                <w:sz w:val="18"/>
              </w:rPr>
              <w:t>0.38</w:t>
            </w:r>
          </w:p>
        </w:tc>
      </w:tr>
    </w:tbl>
    <w:p>
      <w:pPr>
        <w:spacing w:after="40"/>
      </w:pPr>
    </w:p>
    <w:p>
      <w:pPr>
        <w:pStyle w:val="Heading1"/>
      </w:pPr>
      <w:r>
        <w:t>4. Budget closure</w:t>
      </w:r>
    </w:p>
    <w:p>
      <w:r>
        <w:rPr>
          <w:b/>
        </w:rPr>
        <w:t xml:space="preserve">Reading. </w:t>
      </w:r>
      <w:r>
        <w:t>The model predicts yield and removal and computes surplus from the budget, so its three outputs cannot disagree. Across all 65,925 test predictions the largest residual was 0.00003 kg N/ha, the size of floating-point rounding. Because the surplus error is measured after this step, training on it also corrects the removal head, so the constraint shapes learning as well as the output.</w:t>
      </w:r>
    </w:p>
    <w:p>
      <w:pPr>
        <w:pStyle w:val="Heading1"/>
      </w:pPr>
      <w:r>
        <w:t>5. Error analysis</w:t>
      </w:r>
    </w:p>
    <w:p>
      <w:pPr>
        <w:keepNext/>
        <w:jc w:val="center"/>
      </w:pPr>
      <w:r>
        <w:drawing>
          <wp:inline xmlns:a="http://schemas.openxmlformats.org/drawingml/2006/main" xmlns:pic="http://schemas.openxmlformats.org/drawingml/2006/picture">
            <wp:extent cx="5760000" cy="3794239"/>
            <wp:docPr id="3" name="Picture 3"/>
            <wp:cNvGraphicFramePr>
              <a:graphicFrameLocks noChangeAspect="1"/>
            </wp:cNvGraphicFramePr>
            <a:graphic>
              <a:graphicData uri="http://schemas.openxmlformats.org/drawingml/2006/picture">
                <pic:pic>
                  <pic:nvPicPr>
                    <pic:cNvPr id="0" name="pred_vs_obs.png"/>
                    <pic:cNvPicPr/>
                  </pic:nvPicPr>
                  <pic:blipFill>
                    <a:blip r:embed="rId12"/>
                    <a:stretch>
                      <a:fillRect/>
                    </a:stretch>
                  </pic:blipFill>
                  <pic:spPr>
                    <a:xfrm>
                      <a:off x="0" y="0"/>
                      <a:ext cx="5760000" cy="3794239"/>
                    </a:xfrm>
                    <a:prstGeom prst="rect"/>
                  </pic:spPr>
                </pic:pic>
              </a:graphicData>
            </a:graphic>
          </wp:inline>
        </w:drawing>
      </w:r>
    </w:p>
    <w:p>
      <w:pPr>
        <w:pStyle w:val="Caption"/>
      </w:pPr>
      <w:r>
        <w:t>Figure 3. Predicted against observed yield (top) and surplus (bottom) on 2017-2018, by crop. The line is 1:1.</w:t>
      </w:r>
    </w:p>
    <w:p>
      <w:r>
        <w:rPr>
          <w:b/>
        </w:rPr>
        <w:t xml:space="preserve">Figure 3. </w:t>
      </w:r>
      <w:r>
        <w:t>Points scatter evenly around the line for wheat and barley. Maize shows the widest spread, and surplus sits tightly on the line because of the budget algebra.</w:t>
      </w:r>
    </w:p>
    <w:p>
      <w:pPr>
        <w:keepNext/>
        <w:jc w:val="center"/>
      </w:pPr>
      <w:r>
        <w:drawing>
          <wp:inline xmlns:a="http://schemas.openxmlformats.org/drawingml/2006/main" xmlns:pic="http://schemas.openxmlformats.org/drawingml/2006/picture">
            <wp:extent cx="3960000" cy="2431140"/>
            <wp:docPr id="4" name="Picture 4"/>
            <wp:cNvGraphicFramePr>
              <a:graphicFrameLocks noChangeAspect="1"/>
            </wp:cNvGraphicFramePr>
            <a:graphic>
              <a:graphicData uri="http://schemas.openxmlformats.org/drawingml/2006/picture">
                <pic:pic>
                  <pic:nvPicPr>
                    <pic:cNvPr id="0" name="bias_by_year.png"/>
                    <pic:cNvPicPr/>
                  </pic:nvPicPr>
                  <pic:blipFill>
                    <a:blip r:embed="rId13"/>
                    <a:stretch>
                      <a:fillRect/>
                    </a:stretch>
                  </pic:blipFill>
                  <pic:spPr>
                    <a:xfrm>
                      <a:off x="0" y="0"/>
                      <a:ext cx="3960000" cy="2431140"/>
                    </a:xfrm>
                    <a:prstGeom prst="rect"/>
                  </pic:spPr>
                </pic:pic>
              </a:graphicData>
            </a:graphic>
          </wp:inline>
        </w:drawing>
      </w:r>
    </w:p>
    <w:p>
      <w:pPr>
        <w:pStyle w:val="Caption"/>
      </w:pPr>
      <w:r>
        <w:t>Figure 4. Mean yield error by crop and test year.</w:t>
      </w:r>
    </w:p>
    <w:p>
      <w:r>
        <w:rPr>
          <w:b/>
        </w:rPr>
        <w:t xml:space="preserve">Figure 4. </w:t>
      </w:r>
      <w:r>
        <w:t>The model was close to unbiased in 2017 and over-predicted every crop in 2018. Among countries with at least 20 test rows, the 2018 over-prediction was largest in Sweden, Germany, Poland and Czechia, the area hit by that summer's drought, while Romania, Bulgaria and Hungary were under-predicted after good harvests. Without weather inputs the model cannot see a drought year.</w:t>
      </w:r>
    </w:p>
    <w:p>
      <w:pPr>
        <w:keepNext/>
        <w:jc w:val="center"/>
      </w:pPr>
      <w:r>
        <w:drawing>
          <wp:inline xmlns:a="http://schemas.openxmlformats.org/drawingml/2006/main" xmlns:pic="http://schemas.openxmlformats.org/drawingml/2006/picture">
            <wp:extent cx="5040000" cy="4671540"/>
            <wp:docPr id="5" name="Picture 5"/>
            <wp:cNvGraphicFramePr>
              <a:graphicFrameLocks noChangeAspect="1"/>
            </wp:cNvGraphicFramePr>
            <a:graphic>
              <a:graphicData uri="http://schemas.openxmlformats.org/drawingml/2006/picture">
                <pic:pic>
                  <pic:nvPicPr>
                    <pic:cNvPr id="0" name="error_by_country.png"/>
                    <pic:cNvPicPr/>
                  </pic:nvPicPr>
                  <pic:blipFill>
                    <a:blip r:embed="rId14"/>
                    <a:stretch>
                      <a:fillRect/>
                    </a:stretch>
                  </pic:blipFill>
                  <pic:spPr>
                    <a:xfrm>
                      <a:off x="0" y="0"/>
                      <a:ext cx="5040000" cy="4671540"/>
                    </a:xfrm>
                    <a:prstGeom prst="rect"/>
                  </pic:spPr>
                </pic:pic>
              </a:graphicData>
            </a:graphic>
          </wp:inline>
        </w:drawing>
      </w:r>
    </w:p>
    <w:p>
      <w:pPr>
        <w:pStyle w:val="Caption"/>
      </w:pPr>
      <w:r>
        <w:t>Figure 5. Yield and surplus MAE by country, 2017-2018 (n = test rows). Countries are sorted by surplus error.</w:t>
      </w:r>
    </w:p>
    <w:p>
      <w:r>
        <w:rPr>
          <w:b/>
        </w:rPr>
        <w:t xml:space="preserve">Figure 5. </w:t>
      </w:r>
      <w:r>
        <w:t>The largest surplus error is in Luxembourg, which has only six test rows. Belgium, Austria and Poland follow, and in Belgium HaNi also covers little of CAPRI's mineral N. Cyprus has just two test rows, so its error says little.</w:t>
      </w:r>
    </w:p>
    <w:p>
      <w:pPr>
        <w:pStyle w:val="Heading1"/>
      </w:pPr>
      <w:r>
        <w:t>6. Hotspot ranking</w:t>
      </w:r>
    </w:p>
    <w:p>
      <w:pPr>
        <w:keepNext/>
        <w:jc w:val="center"/>
      </w:pPr>
      <w:r>
        <w:drawing>
          <wp:inline xmlns:a="http://schemas.openxmlformats.org/drawingml/2006/main" xmlns:pic="http://schemas.openxmlformats.org/drawingml/2006/picture">
            <wp:extent cx="5760000" cy="2570306"/>
            <wp:docPr id="6" name="Picture 6"/>
            <wp:cNvGraphicFramePr>
              <a:graphicFrameLocks noChangeAspect="1"/>
            </wp:cNvGraphicFramePr>
            <a:graphic>
              <a:graphicData uri="http://schemas.openxmlformats.org/drawingml/2006/picture">
                <pic:pic>
                  <pic:nvPicPr>
                    <pic:cNvPr id="0" name="hotspot_quadrant.png"/>
                    <pic:cNvPicPr/>
                  </pic:nvPicPr>
                  <pic:blipFill>
                    <a:blip r:embed="rId15"/>
                    <a:stretch>
                      <a:fillRect/>
                    </a:stretch>
                  </pic:blipFill>
                  <pic:spPr>
                    <a:xfrm>
                      <a:off x="0" y="0"/>
                      <a:ext cx="5760000" cy="2570306"/>
                    </a:xfrm>
                    <a:prstGeom prst="rect"/>
                  </pic:spPr>
                </pic:pic>
              </a:graphicData>
            </a:graphic>
          </wp:inline>
        </w:drawing>
      </w:r>
    </w:p>
    <w:p>
      <w:pPr>
        <w:pStyle w:val="Caption"/>
      </w:pPr>
      <w:r>
        <w:t>Figure 6. Predicted yield against predicted surplus for each crop-region-year in 2017-2018. Lines mark the crop medians; the 10 highest and 10 lowest surplus-per-tonne cases are highlighted.</w:t>
      </w:r>
    </w:p>
    <w:p>
      <w:r>
        <w:rPr>
          <w:b/>
        </w:rPr>
        <w:t xml:space="preserve">Figure 6. </w:t>
      </w:r>
      <w:r>
        <w:t>The highest surplus per tonne comes from very high inputs relative to yield. The lowest values are negative surpluses (6% of cases), where removal exceeds inputs and soil N is being drawn down. These are not efficient in a sustainable sense.</w:t>
      </w:r>
    </w:p>
    <w:p>
      <w:pPr>
        <w:keepNext/>
        <w:jc w:val="center"/>
      </w:pPr>
      <w:r>
        <w:drawing>
          <wp:inline xmlns:a="http://schemas.openxmlformats.org/drawingml/2006/main" xmlns:pic="http://schemas.openxmlformats.org/drawingml/2006/picture">
            <wp:extent cx="5760000" cy="5450127"/>
            <wp:docPr id="7" name="Picture 7"/>
            <wp:cNvGraphicFramePr>
              <a:graphicFrameLocks noChangeAspect="1"/>
            </wp:cNvGraphicFramePr>
            <a:graphic>
              <a:graphicData uri="http://schemas.openxmlformats.org/drawingml/2006/picture">
                <pic:pic>
                  <pic:nvPicPr>
                    <pic:cNvPr id="0" name="hotspot_map.png"/>
                    <pic:cNvPicPr/>
                  </pic:nvPicPr>
                  <pic:blipFill>
                    <a:blip r:embed="rId16"/>
                    <a:stretch>
                      <a:fillRect/>
                    </a:stretch>
                  </pic:blipFill>
                  <pic:spPr>
                    <a:xfrm>
                      <a:off x="0" y="0"/>
                      <a:ext cx="5760000" cy="5450127"/>
                    </a:xfrm>
                    <a:prstGeom prst="rect"/>
                  </pic:spPr>
                </pic:pic>
              </a:graphicData>
            </a:graphic>
          </wp:inline>
        </w:drawing>
      </w:r>
    </w:p>
    <w:p>
      <w:pPr>
        <w:pStyle w:val="Caption"/>
      </w:pPr>
      <w:r>
        <w:t>Figure 7. Predicted surplus per tonne of yield by NUTS2 region and crop, mean of 2017 and 2018. Grey regions do not grow the crop at 1,000 ha or more.</w:t>
      </w:r>
    </w:p>
    <w:p>
      <w:r>
        <w:rPr>
          <w:b/>
        </w:rPr>
        <w:t xml:space="preserve">Figure 7. </w:t>
      </w:r>
      <w:r>
        <w:t>Rapeseed in Latvia, Sweden and the United Kingdom, and barley in Spain, stand out. The Latvian rapeseed values are extreme enough to suggest an input artefact and should be checked before any use.</w:t>
      </w:r>
    </w:p>
    <w:p>
      <w:pPr>
        <w:pStyle w:val="Caption"/>
        <w:keepNext/>
      </w:pPr>
      <w:r>
        <w:t>Table 5. The 10 region-crops with the highest predicted surplus per tonne (CAPRI region codes).</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E1E0D9"/>
          </w:tcPr>
          <w:p>
            <w:pPr>
              <w:spacing w:after="0" w:line="240" w:lineRule="auto"/>
            </w:pPr>
            <w:r>
              <w:rPr>
                <w:b/>
                <w:sz w:val="18"/>
              </w:rPr>
              <w:t>Region</w:t>
            </w:r>
          </w:p>
        </w:tc>
        <w:tc>
          <w:tcPr>
            <w:tcW w:type="dxa" w:w="1289"/>
            <w:shd w:val="clear" w:color="auto" w:fill="E1E0D9"/>
          </w:tcPr>
          <w:p>
            <w:pPr>
              <w:spacing w:after="0" w:line="240" w:lineRule="auto"/>
              <w:jc w:val="right"/>
            </w:pPr>
            <w:r>
              <w:rPr>
                <w:b/>
                <w:sz w:val="18"/>
              </w:rPr>
              <w:t>Country</w:t>
            </w:r>
          </w:p>
        </w:tc>
        <w:tc>
          <w:tcPr>
            <w:tcW w:type="dxa" w:w="1289"/>
            <w:shd w:val="clear" w:color="auto" w:fill="E1E0D9"/>
          </w:tcPr>
          <w:p>
            <w:pPr>
              <w:spacing w:after="0" w:line="240" w:lineRule="auto"/>
              <w:jc w:val="right"/>
            </w:pPr>
            <w:r>
              <w:rPr>
                <w:b/>
                <w:sz w:val="18"/>
              </w:rPr>
              <w:t>Crop</w:t>
            </w:r>
          </w:p>
        </w:tc>
        <w:tc>
          <w:tcPr>
            <w:tcW w:type="dxa" w:w="1289"/>
            <w:shd w:val="clear" w:color="auto" w:fill="E1E0D9"/>
          </w:tcPr>
          <w:p>
            <w:pPr>
              <w:spacing w:after="0" w:line="240" w:lineRule="auto"/>
              <w:jc w:val="right"/>
            </w:pPr>
            <w:r>
              <w:rPr>
                <w:b/>
                <w:sz w:val="18"/>
              </w:rPr>
              <w:t>Year</w:t>
            </w:r>
          </w:p>
        </w:tc>
        <w:tc>
          <w:tcPr>
            <w:tcW w:type="dxa" w:w="1289"/>
            <w:shd w:val="clear" w:color="auto" w:fill="E1E0D9"/>
          </w:tcPr>
          <w:p>
            <w:pPr>
              <w:spacing w:after="0" w:line="240" w:lineRule="auto"/>
              <w:jc w:val="right"/>
            </w:pPr>
            <w:r>
              <w:rPr>
                <w:b/>
                <w:sz w:val="18"/>
              </w:rPr>
              <w:t>Yield, t/ha</w:t>
            </w:r>
          </w:p>
        </w:tc>
        <w:tc>
          <w:tcPr>
            <w:tcW w:type="dxa" w:w="1289"/>
            <w:shd w:val="clear" w:color="auto" w:fill="E1E0D9"/>
          </w:tcPr>
          <w:p>
            <w:pPr>
              <w:spacing w:after="0" w:line="240" w:lineRule="auto"/>
              <w:jc w:val="right"/>
            </w:pPr>
            <w:r>
              <w:rPr>
                <w:b/>
                <w:sz w:val="18"/>
              </w:rPr>
              <w:t>Surplus, kg N/ha</w:t>
            </w:r>
          </w:p>
        </w:tc>
        <w:tc>
          <w:tcPr>
            <w:tcW w:type="dxa" w:w="1289"/>
            <w:shd w:val="clear" w:color="auto" w:fill="E1E0D9"/>
          </w:tcPr>
          <w:p>
            <w:pPr>
              <w:spacing w:after="0" w:line="240" w:lineRule="auto"/>
              <w:jc w:val="right"/>
            </w:pPr>
            <w:r>
              <w:rPr>
                <w:b/>
                <w:sz w:val="18"/>
              </w:rPr>
              <w:t>kg N per t</w:t>
            </w:r>
          </w:p>
        </w:tc>
      </w:tr>
      <w:tr>
        <w:tc>
          <w:tcPr>
            <w:tcW w:type="dxa" w:w="1289"/>
          </w:tcPr>
          <w:p>
            <w:pPr>
              <w:spacing w:after="0" w:line="240" w:lineRule="auto"/>
            </w:pPr>
            <w:r>
              <w:rPr>
                <w:b w:val="0"/>
                <w:sz w:val="18"/>
              </w:rPr>
              <w:t>LV00</w:t>
            </w:r>
          </w:p>
        </w:tc>
        <w:tc>
          <w:tcPr>
            <w:tcW w:type="dxa" w:w="1289"/>
          </w:tcPr>
          <w:p>
            <w:pPr>
              <w:spacing w:after="0" w:line="240" w:lineRule="auto"/>
              <w:jc w:val="right"/>
            </w:pPr>
            <w:r>
              <w:rPr>
                <w:b w:val="0"/>
                <w:sz w:val="18"/>
              </w:rPr>
              <w:t>Latvia</w:t>
            </w:r>
          </w:p>
        </w:tc>
        <w:tc>
          <w:tcPr>
            <w:tcW w:type="dxa" w:w="1289"/>
          </w:tcPr>
          <w:p>
            <w:pPr>
              <w:spacing w:after="0" w:line="240" w:lineRule="auto"/>
              <w:jc w:val="right"/>
            </w:pPr>
            <w:r>
              <w:rPr>
                <w:b w:val="0"/>
                <w:sz w:val="18"/>
              </w:rPr>
              <w:t>Rapeseed</w:t>
            </w:r>
          </w:p>
        </w:tc>
        <w:tc>
          <w:tcPr>
            <w:tcW w:type="dxa" w:w="1289"/>
          </w:tcPr>
          <w:p>
            <w:pPr>
              <w:spacing w:after="0" w:line="240" w:lineRule="auto"/>
              <w:jc w:val="right"/>
            </w:pPr>
            <w:r>
              <w:rPr>
                <w:b w:val="0"/>
                <w:sz w:val="18"/>
              </w:rPr>
              <w:t>2017</w:t>
            </w:r>
          </w:p>
        </w:tc>
        <w:tc>
          <w:tcPr>
            <w:tcW w:type="dxa" w:w="1289"/>
          </w:tcPr>
          <w:p>
            <w:pPr>
              <w:spacing w:after="0" w:line="240" w:lineRule="auto"/>
              <w:jc w:val="right"/>
            </w:pPr>
            <w:r>
              <w:rPr>
                <w:b w:val="0"/>
                <w:sz w:val="18"/>
              </w:rPr>
              <w:t>2.68</w:t>
            </w:r>
          </w:p>
        </w:tc>
        <w:tc>
          <w:tcPr>
            <w:tcW w:type="dxa" w:w="1289"/>
          </w:tcPr>
          <w:p>
            <w:pPr>
              <w:spacing w:after="0" w:line="240" w:lineRule="auto"/>
              <w:jc w:val="right"/>
            </w:pPr>
            <w:r>
              <w:rPr>
                <w:b w:val="0"/>
                <w:sz w:val="18"/>
              </w:rPr>
              <w:t>356</w:t>
            </w:r>
          </w:p>
        </w:tc>
        <w:tc>
          <w:tcPr>
            <w:tcW w:type="dxa" w:w="1289"/>
          </w:tcPr>
          <w:p>
            <w:pPr>
              <w:spacing w:after="0" w:line="240" w:lineRule="auto"/>
              <w:jc w:val="right"/>
            </w:pPr>
            <w:r>
              <w:rPr>
                <w:b w:val="0"/>
                <w:sz w:val="18"/>
              </w:rPr>
              <w:t>133</w:t>
            </w:r>
          </w:p>
        </w:tc>
      </w:tr>
      <w:tr>
        <w:tc>
          <w:tcPr>
            <w:tcW w:type="dxa" w:w="1289"/>
          </w:tcPr>
          <w:p>
            <w:pPr>
              <w:spacing w:after="0" w:line="240" w:lineRule="auto"/>
            </w:pPr>
            <w:r>
              <w:rPr>
                <w:b w:val="0"/>
                <w:sz w:val="18"/>
              </w:rPr>
              <w:t>SE06</w:t>
            </w:r>
          </w:p>
        </w:tc>
        <w:tc>
          <w:tcPr>
            <w:tcW w:type="dxa" w:w="1289"/>
          </w:tcPr>
          <w:p>
            <w:pPr>
              <w:spacing w:after="0" w:line="240" w:lineRule="auto"/>
              <w:jc w:val="right"/>
            </w:pPr>
            <w:r>
              <w:rPr>
                <w:b w:val="0"/>
                <w:sz w:val="18"/>
              </w:rPr>
              <w:t>Sweden</w:t>
            </w:r>
          </w:p>
        </w:tc>
        <w:tc>
          <w:tcPr>
            <w:tcW w:type="dxa" w:w="1289"/>
          </w:tcPr>
          <w:p>
            <w:pPr>
              <w:spacing w:after="0" w:line="240" w:lineRule="auto"/>
              <w:jc w:val="right"/>
            </w:pPr>
            <w:r>
              <w:rPr>
                <w:b w:val="0"/>
                <w:sz w:val="18"/>
              </w:rPr>
              <w:t>Rapeseed</w:t>
            </w:r>
          </w:p>
        </w:tc>
        <w:tc>
          <w:tcPr>
            <w:tcW w:type="dxa" w:w="1289"/>
          </w:tcPr>
          <w:p>
            <w:pPr>
              <w:spacing w:after="0" w:line="240" w:lineRule="auto"/>
              <w:jc w:val="right"/>
            </w:pPr>
            <w:r>
              <w:rPr>
                <w:b w:val="0"/>
                <w:sz w:val="18"/>
              </w:rPr>
              <w:t>2017</w:t>
            </w:r>
          </w:p>
        </w:tc>
        <w:tc>
          <w:tcPr>
            <w:tcW w:type="dxa" w:w="1289"/>
          </w:tcPr>
          <w:p>
            <w:pPr>
              <w:spacing w:after="0" w:line="240" w:lineRule="auto"/>
              <w:jc w:val="right"/>
            </w:pPr>
            <w:r>
              <w:rPr>
                <w:b w:val="0"/>
                <w:sz w:val="18"/>
              </w:rPr>
              <w:t>2.15</w:t>
            </w:r>
          </w:p>
        </w:tc>
        <w:tc>
          <w:tcPr>
            <w:tcW w:type="dxa" w:w="1289"/>
          </w:tcPr>
          <w:p>
            <w:pPr>
              <w:spacing w:after="0" w:line="240" w:lineRule="auto"/>
              <w:jc w:val="right"/>
            </w:pPr>
            <w:r>
              <w:rPr>
                <w:b w:val="0"/>
                <w:sz w:val="18"/>
              </w:rPr>
              <w:t>259</w:t>
            </w:r>
          </w:p>
        </w:tc>
        <w:tc>
          <w:tcPr>
            <w:tcW w:type="dxa" w:w="1289"/>
          </w:tcPr>
          <w:p>
            <w:pPr>
              <w:spacing w:after="0" w:line="240" w:lineRule="auto"/>
              <w:jc w:val="right"/>
            </w:pPr>
            <w:r>
              <w:rPr>
                <w:b w:val="0"/>
                <w:sz w:val="18"/>
              </w:rPr>
              <w:t>120</w:t>
            </w:r>
          </w:p>
        </w:tc>
      </w:tr>
      <w:tr>
        <w:tc>
          <w:tcPr>
            <w:tcW w:type="dxa" w:w="1289"/>
          </w:tcPr>
          <w:p>
            <w:pPr>
              <w:spacing w:after="0" w:line="240" w:lineRule="auto"/>
            </w:pPr>
            <w:r>
              <w:rPr>
                <w:b w:val="0"/>
                <w:sz w:val="18"/>
              </w:rPr>
              <w:t>ES62</w:t>
            </w:r>
          </w:p>
        </w:tc>
        <w:tc>
          <w:tcPr>
            <w:tcW w:type="dxa" w:w="1289"/>
          </w:tcPr>
          <w:p>
            <w:pPr>
              <w:spacing w:after="0" w:line="240" w:lineRule="auto"/>
              <w:jc w:val="right"/>
            </w:pPr>
            <w:r>
              <w:rPr>
                <w:b w:val="0"/>
                <w:sz w:val="18"/>
              </w:rPr>
              <w:t>Spain</w:t>
            </w:r>
          </w:p>
        </w:tc>
        <w:tc>
          <w:tcPr>
            <w:tcW w:type="dxa" w:w="1289"/>
          </w:tcPr>
          <w:p>
            <w:pPr>
              <w:spacing w:after="0" w:line="240" w:lineRule="auto"/>
              <w:jc w:val="right"/>
            </w:pPr>
            <w:r>
              <w:rPr>
                <w:b w:val="0"/>
                <w:sz w:val="18"/>
              </w:rPr>
              <w:t>Barley</w:t>
            </w:r>
          </w:p>
        </w:tc>
        <w:tc>
          <w:tcPr>
            <w:tcW w:type="dxa" w:w="1289"/>
          </w:tcPr>
          <w:p>
            <w:pPr>
              <w:spacing w:after="0" w:line="240" w:lineRule="auto"/>
              <w:jc w:val="right"/>
            </w:pPr>
            <w:r>
              <w:rPr>
                <w:b w:val="0"/>
                <w:sz w:val="18"/>
              </w:rPr>
              <w:t>2017</w:t>
            </w:r>
          </w:p>
        </w:tc>
        <w:tc>
          <w:tcPr>
            <w:tcW w:type="dxa" w:w="1289"/>
          </w:tcPr>
          <w:p>
            <w:pPr>
              <w:spacing w:after="0" w:line="240" w:lineRule="auto"/>
              <w:jc w:val="right"/>
            </w:pPr>
            <w:r>
              <w:rPr>
                <w:b w:val="0"/>
                <w:sz w:val="18"/>
              </w:rPr>
              <w:t>1.92</w:t>
            </w:r>
          </w:p>
        </w:tc>
        <w:tc>
          <w:tcPr>
            <w:tcW w:type="dxa" w:w="1289"/>
          </w:tcPr>
          <w:p>
            <w:pPr>
              <w:spacing w:after="0" w:line="240" w:lineRule="auto"/>
              <w:jc w:val="right"/>
            </w:pPr>
            <w:r>
              <w:rPr>
                <w:b w:val="0"/>
                <w:sz w:val="18"/>
              </w:rPr>
              <w:t>208</w:t>
            </w:r>
          </w:p>
        </w:tc>
        <w:tc>
          <w:tcPr>
            <w:tcW w:type="dxa" w:w="1289"/>
          </w:tcPr>
          <w:p>
            <w:pPr>
              <w:spacing w:after="0" w:line="240" w:lineRule="auto"/>
              <w:jc w:val="right"/>
            </w:pPr>
            <w:r>
              <w:rPr>
                <w:b w:val="0"/>
                <w:sz w:val="18"/>
              </w:rPr>
              <w:t>108</w:t>
            </w:r>
          </w:p>
        </w:tc>
      </w:tr>
      <w:tr>
        <w:tc>
          <w:tcPr>
            <w:tcW w:type="dxa" w:w="1289"/>
          </w:tcPr>
          <w:p>
            <w:pPr>
              <w:spacing w:after="0" w:line="240" w:lineRule="auto"/>
            </w:pPr>
            <w:r>
              <w:rPr>
                <w:b w:val="0"/>
                <w:sz w:val="18"/>
              </w:rPr>
              <w:t>UKM0</w:t>
            </w:r>
          </w:p>
        </w:tc>
        <w:tc>
          <w:tcPr>
            <w:tcW w:type="dxa" w:w="1289"/>
          </w:tcPr>
          <w:p>
            <w:pPr>
              <w:spacing w:after="0" w:line="240" w:lineRule="auto"/>
              <w:jc w:val="right"/>
            </w:pPr>
            <w:r>
              <w:rPr>
                <w:b w:val="0"/>
                <w:sz w:val="18"/>
              </w:rPr>
              <w:t>United Kingdom</w:t>
            </w:r>
          </w:p>
        </w:tc>
        <w:tc>
          <w:tcPr>
            <w:tcW w:type="dxa" w:w="1289"/>
          </w:tcPr>
          <w:p>
            <w:pPr>
              <w:spacing w:after="0" w:line="240" w:lineRule="auto"/>
              <w:jc w:val="right"/>
            </w:pPr>
            <w:r>
              <w:rPr>
                <w:b w:val="0"/>
                <w:sz w:val="18"/>
              </w:rPr>
              <w:t>Rapeseed</w:t>
            </w:r>
          </w:p>
        </w:tc>
        <w:tc>
          <w:tcPr>
            <w:tcW w:type="dxa" w:w="1289"/>
          </w:tcPr>
          <w:p>
            <w:pPr>
              <w:spacing w:after="0" w:line="240" w:lineRule="auto"/>
              <w:jc w:val="right"/>
            </w:pPr>
            <w:r>
              <w:rPr>
                <w:b w:val="0"/>
                <w:sz w:val="18"/>
              </w:rPr>
              <w:t>2017</w:t>
            </w:r>
          </w:p>
        </w:tc>
        <w:tc>
          <w:tcPr>
            <w:tcW w:type="dxa" w:w="1289"/>
          </w:tcPr>
          <w:p>
            <w:pPr>
              <w:spacing w:after="0" w:line="240" w:lineRule="auto"/>
              <w:jc w:val="right"/>
            </w:pPr>
            <w:r>
              <w:rPr>
                <w:b w:val="0"/>
                <w:sz w:val="18"/>
              </w:rPr>
              <w:t>3.74</w:t>
            </w:r>
          </w:p>
        </w:tc>
        <w:tc>
          <w:tcPr>
            <w:tcW w:type="dxa" w:w="1289"/>
          </w:tcPr>
          <w:p>
            <w:pPr>
              <w:spacing w:after="0" w:line="240" w:lineRule="auto"/>
              <w:jc w:val="right"/>
            </w:pPr>
            <w:r>
              <w:rPr>
                <w:b w:val="0"/>
                <w:sz w:val="18"/>
              </w:rPr>
              <w:t>361</w:t>
            </w:r>
          </w:p>
        </w:tc>
        <w:tc>
          <w:tcPr>
            <w:tcW w:type="dxa" w:w="1289"/>
          </w:tcPr>
          <w:p>
            <w:pPr>
              <w:spacing w:after="0" w:line="240" w:lineRule="auto"/>
              <w:jc w:val="right"/>
            </w:pPr>
            <w:r>
              <w:rPr>
                <w:b w:val="0"/>
                <w:sz w:val="18"/>
              </w:rPr>
              <w:t>96</w:t>
            </w:r>
          </w:p>
        </w:tc>
      </w:tr>
      <w:tr>
        <w:tc>
          <w:tcPr>
            <w:tcW w:type="dxa" w:w="1289"/>
          </w:tcPr>
          <w:p>
            <w:pPr>
              <w:spacing w:after="0" w:line="240" w:lineRule="auto"/>
            </w:pPr>
            <w:r>
              <w:rPr>
                <w:b w:val="0"/>
                <w:sz w:val="18"/>
              </w:rPr>
              <w:t>UKF0</w:t>
            </w:r>
          </w:p>
        </w:tc>
        <w:tc>
          <w:tcPr>
            <w:tcW w:type="dxa" w:w="1289"/>
          </w:tcPr>
          <w:p>
            <w:pPr>
              <w:spacing w:after="0" w:line="240" w:lineRule="auto"/>
              <w:jc w:val="right"/>
            </w:pPr>
            <w:r>
              <w:rPr>
                <w:b w:val="0"/>
                <w:sz w:val="18"/>
              </w:rPr>
              <w:t>United Kingdom</w:t>
            </w:r>
          </w:p>
        </w:tc>
        <w:tc>
          <w:tcPr>
            <w:tcW w:type="dxa" w:w="1289"/>
          </w:tcPr>
          <w:p>
            <w:pPr>
              <w:spacing w:after="0" w:line="240" w:lineRule="auto"/>
              <w:jc w:val="right"/>
            </w:pPr>
            <w:r>
              <w:rPr>
                <w:b w:val="0"/>
                <w:sz w:val="18"/>
              </w:rPr>
              <w:t>Rapeseed</w:t>
            </w:r>
          </w:p>
        </w:tc>
        <w:tc>
          <w:tcPr>
            <w:tcW w:type="dxa" w:w="1289"/>
          </w:tcPr>
          <w:p>
            <w:pPr>
              <w:spacing w:after="0" w:line="240" w:lineRule="auto"/>
              <w:jc w:val="right"/>
            </w:pPr>
            <w:r>
              <w:rPr>
                <w:b w:val="0"/>
                <w:sz w:val="18"/>
              </w:rPr>
              <w:t>2017</w:t>
            </w:r>
          </w:p>
        </w:tc>
        <w:tc>
          <w:tcPr>
            <w:tcW w:type="dxa" w:w="1289"/>
          </w:tcPr>
          <w:p>
            <w:pPr>
              <w:spacing w:after="0" w:line="240" w:lineRule="auto"/>
              <w:jc w:val="right"/>
            </w:pPr>
            <w:r>
              <w:rPr>
                <w:b w:val="0"/>
                <w:sz w:val="18"/>
              </w:rPr>
              <w:t>3.65</w:t>
            </w:r>
          </w:p>
        </w:tc>
        <w:tc>
          <w:tcPr>
            <w:tcW w:type="dxa" w:w="1289"/>
          </w:tcPr>
          <w:p>
            <w:pPr>
              <w:spacing w:after="0" w:line="240" w:lineRule="auto"/>
              <w:jc w:val="right"/>
            </w:pPr>
            <w:r>
              <w:rPr>
                <w:b w:val="0"/>
                <w:sz w:val="18"/>
              </w:rPr>
              <w:t>340</w:t>
            </w:r>
          </w:p>
        </w:tc>
        <w:tc>
          <w:tcPr>
            <w:tcW w:type="dxa" w:w="1289"/>
          </w:tcPr>
          <w:p>
            <w:pPr>
              <w:spacing w:after="0" w:line="240" w:lineRule="auto"/>
              <w:jc w:val="right"/>
            </w:pPr>
            <w:r>
              <w:rPr>
                <w:b w:val="0"/>
                <w:sz w:val="18"/>
              </w:rPr>
              <w:t>93</w:t>
            </w:r>
          </w:p>
        </w:tc>
      </w:tr>
      <w:tr>
        <w:tc>
          <w:tcPr>
            <w:tcW w:type="dxa" w:w="1289"/>
          </w:tcPr>
          <w:p>
            <w:pPr>
              <w:spacing w:after="0" w:line="240" w:lineRule="auto"/>
            </w:pPr>
            <w:r>
              <w:rPr>
                <w:b w:val="0"/>
                <w:sz w:val="18"/>
              </w:rPr>
              <w:t>RO08</w:t>
            </w:r>
          </w:p>
        </w:tc>
        <w:tc>
          <w:tcPr>
            <w:tcW w:type="dxa" w:w="1289"/>
          </w:tcPr>
          <w:p>
            <w:pPr>
              <w:spacing w:after="0" w:line="240" w:lineRule="auto"/>
              <w:jc w:val="right"/>
            </w:pPr>
            <w:r>
              <w:rPr>
                <w:b w:val="0"/>
                <w:sz w:val="18"/>
              </w:rPr>
              <w:t>Romania</w:t>
            </w:r>
          </w:p>
        </w:tc>
        <w:tc>
          <w:tcPr>
            <w:tcW w:type="dxa" w:w="1289"/>
          </w:tcPr>
          <w:p>
            <w:pPr>
              <w:spacing w:after="0" w:line="240" w:lineRule="auto"/>
              <w:jc w:val="right"/>
            </w:pPr>
            <w:r>
              <w:rPr>
                <w:b w:val="0"/>
                <w:sz w:val="18"/>
              </w:rPr>
              <w:t>Barley</w:t>
            </w:r>
          </w:p>
        </w:tc>
        <w:tc>
          <w:tcPr>
            <w:tcW w:type="dxa" w:w="1289"/>
          </w:tcPr>
          <w:p>
            <w:pPr>
              <w:spacing w:after="0" w:line="240" w:lineRule="auto"/>
              <w:jc w:val="right"/>
            </w:pPr>
            <w:r>
              <w:rPr>
                <w:b w:val="0"/>
                <w:sz w:val="18"/>
              </w:rPr>
              <w:t>2017</w:t>
            </w:r>
          </w:p>
        </w:tc>
        <w:tc>
          <w:tcPr>
            <w:tcW w:type="dxa" w:w="1289"/>
          </w:tcPr>
          <w:p>
            <w:pPr>
              <w:spacing w:after="0" w:line="240" w:lineRule="auto"/>
              <w:jc w:val="right"/>
            </w:pPr>
            <w:r>
              <w:rPr>
                <w:b w:val="0"/>
                <w:sz w:val="18"/>
              </w:rPr>
              <w:t>3.32</w:t>
            </w:r>
          </w:p>
        </w:tc>
        <w:tc>
          <w:tcPr>
            <w:tcW w:type="dxa" w:w="1289"/>
          </w:tcPr>
          <w:p>
            <w:pPr>
              <w:spacing w:after="0" w:line="240" w:lineRule="auto"/>
              <w:jc w:val="right"/>
            </w:pPr>
            <w:r>
              <w:rPr>
                <w:b w:val="0"/>
                <w:sz w:val="18"/>
              </w:rPr>
              <w:t>301</w:t>
            </w:r>
          </w:p>
        </w:tc>
        <w:tc>
          <w:tcPr>
            <w:tcW w:type="dxa" w:w="1289"/>
          </w:tcPr>
          <w:p>
            <w:pPr>
              <w:spacing w:after="0" w:line="240" w:lineRule="auto"/>
              <w:jc w:val="right"/>
            </w:pPr>
            <w:r>
              <w:rPr>
                <w:b w:val="0"/>
                <w:sz w:val="18"/>
              </w:rPr>
              <w:t>90</w:t>
            </w:r>
          </w:p>
        </w:tc>
      </w:tr>
      <w:tr>
        <w:tc>
          <w:tcPr>
            <w:tcW w:type="dxa" w:w="1289"/>
          </w:tcPr>
          <w:p>
            <w:pPr>
              <w:spacing w:after="0" w:line="240" w:lineRule="auto"/>
            </w:pPr>
            <w:r>
              <w:rPr>
                <w:b w:val="0"/>
                <w:sz w:val="18"/>
              </w:rPr>
              <w:t>BG05</w:t>
            </w:r>
          </w:p>
        </w:tc>
        <w:tc>
          <w:tcPr>
            <w:tcW w:type="dxa" w:w="1289"/>
          </w:tcPr>
          <w:p>
            <w:pPr>
              <w:spacing w:after="0" w:line="240" w:lineRule="auto"/>
              <w:jc w:val="right"/>
            </w:pPr>
            <w:r>
              <w:rPr>
                <w:b w:val="0"/>
                <w:sz w:val="18"/>
              </w:rPr>
              <w:t>Bulgaria</w:t>
            </w:r>
          </w:p>
        </w:tc>
        <w:tc>
          <w:tcPr>
            <w:tcW w:type="dxa" w:w="1289"/>
          </w:tcPr>
          <w:p>
            <w:pPr>
              <w:spacing w:after="0" w:line="240" w:lineRule="auto"/>
              <w:jc w:val="right"/>
            </w:pPr>
            <w:r>
              <w:rPr>
                <w:b w:val="0"/>
                <w:sz w:val="18"/>
              </w:rPr>
              <w:t>Soft wheat</w:t>
            </w:r>
          </w:p>
        </w:tc>
        <w:tc>
          <w:tcPr>
            <w:tcW w:type="dxa" w:w="1289"/>
          </w:tcPr>
          <w:p>
            <w:pPr>
              <w:spacing w:after="0" w:line="240" w:lineRule="auto"/>
              <w:jc w:val="right"/>
            </w:pPr>
            <w:r>
              <w:rPr>
                <w:b w:val="0"/>
                <w:sz w:val="18"/>
              </w:rPr>
              <w:t>2017</w:t>
            </w:r>
          </w:p>
        </w:tc>
        <w:tc>
          <w:tcPr>
            <w:tcW w:type="dxa" w:w="1289"/>
          </w:tcPr>
          <w:p>
            <w:pPr>
              <w:spacing w:after="0" w:line="240" w:lineRule="auto"/>
              <w:jc w:val="right"/>
            </w:pPr>
            <w:r>
              <w:rPr>
                <w:b w:val="0"/>
                <w:sz w:val="18"/>
              </w:rPr>
              <w:t>3.61</w:t>
            </w:r>
          </w:p>
        </w:tc>
        <w:tc>
          <w:tcPr>
            <w:tcW w:type="dxa" w:w="1289"/>
          </w:tcPr>
          <w:p>
            <w:pPr>
              <w:spacing w:after="0" w:line="240" w:lineRule="auto"/>
              <w:jc w:val="right"/>
            </w:pPr>
            <w:r>
              <w:rPr>
                <w:b w:val="0"/>
                <w:sz w:val="18"/>
              </w:rPr>
              <w:t>320</w:t>
            </w:r>
          </w:p>
        </w:tc>
        <w:tc>
          <w:tcPr>
            <w:tcW w:type="dxa" w:w="1289"/>
          </w:tcPr>
          <w:p>
            <w:pPr>
              <w:spacing w:after="0" w:line="240" w:lineRule="auto"/>
              <w:jc w:val="right"/>
            </w:pPr>
            <w:r>
              <w:rPr>
                <w:b w:val="0"/>
                <w:sz w:val="18"/>
              </w:rPr>
              <w:t>89</w:t>
            </w:r>
          </w:p>
        </w:tc>
      </w:tr>
      <w:tr>
        <w:tc>
          <w:tcPr>
            <w:tcW w:type="dxa" w:w="1289"/>
          </w:tcPr>
          <w:p>
            <w:pPr>
              <w:spacing w:after="0" w:line="240" w:lineRule="auto"/>
            </w:pPr>
            <w:r>
              <w:rPr>
                <w:b w:val="0"/>
                <w:sz w:val="18"/>
              </w:rPr>
              <w:t>UKC0</w:t>
            </w:r>
          </w:p>
        </w:tc>
        <w:tc>
          <w:tcPr>
            <w:tcW w:type="dxa" w:w="1289"/>
          </w:tcPr>
          <w:p>
            <w:pPr>
              <w:spacing w:after="0" w:line="240" w:lineRule="auto"/>
              <w:jc w:val="right"/>
            </w:pPr>
            <w:r>
              <w:rPr>
                <w:b w:val="0"/>
                <w:sz w:val="18"/>
              </w:rPr>
              <w:t>United Kingdom</w:t>
            </w:r>
          </w:p>
        </w:tc>
        <w:tc>
          <w:tcPr>
            <w:tcW w:type="dxa" w:w="1289"/>
          </w:tcPr>
          <w:p>
            <w:pPr>
              <w:spacing w:after="0" w:line="240" w:lineRule="auto"/>
              <w:jc w:val="right"/>
            </w:pPr>
            <w:r>
              <w:rPr>
                <w:b w:val="0"/>
                <w:sz w:val="18"/>
              </w:rPr>
              <w:t>Rapeseed</w:t>
            </w:r>
          </w:p>
        </w:tc>
        <w:tc>
          <w:tcPr>
            <w:tcW w:type="dxa" w:w="1289"/>
          </w:tcPr>
          <w:p>
            <w:pPr>
              <w:spacing w:after="0" w:line="240" w:lineRule="auto"/>
              <w:jc w:val="right"/>
            </w:pPr>
            <w:r>
              <w:rPr>
                <w:b w:val="0"/>
                <w:sz w:val="18"/>
              </w:rPr>
              <w:t>2017</w:t>
            </w:r>
          </w:p>
        </w:tc>
        <w:tc>
          <w:tcPr>
            <w:tcW w:type="dxa" w:w="1289"/>
          </w:tcPr>
          <w:p>
            <w:pPr>
              <w:spacing w:after="0" w:line="240" w:lineRule="auto"/>
              <w:jc w:val="right"/>
            </w:pPr>
            <w:r>
              <w:rPr>
                <w:b w:val="0"/>
                <w:sz w:val="18"/>
              </w:rPr>
              <w:t>3.64</w:t>
            </w:r>
          </w:p>
        </w:tc>
        <w:tc>
          <w:tcPr>
            <w:tcW w:type="dxa" w:w="1289"/>
          </w:tcPr>
          <w:p>
            <w:pPr>
              <w:spacing w:after="0" w:line="240" w:lineRule="auto"/>
              <w:jc w:val="right"/>
            </w:pPr>
            <w:r>
              <w:rPr>
                <w:b w:val="0"/>
                <w:sz w:val="18"/>
              </w:rPr>
              <w:t>320</w:t>
            </w:r>
          </w:p>
        </w:tc>
        <w:tc>
          <w:tcPr>
            <w:tcW w:type="dxa" w:w="1289"/>
          </w:tcPr>
          <w:p>
            <w:pPr>
              <w:spacing w:after="0" w:line="240" w:lineRule="auto"/>
              <w:jc w:val="right"/>
            </w:pPr>
            <w:r>
              <w:rPr>
                <w:b w:val="0"/>
                <w:sz w:val="18"/>
              </w:rPr>
              <w:t>88</w:t>
            </w:r>
          </w:p>
        </w:tc>
      </w:tr>
      <w:tr>
        <w:tc>
          <w:tcPr>
            <w:tcW w:type="dxa" w:w="1289"/>
          </w:tcPr>
          <w:p>
            <w:pPr>
              <w:spacing w:after="0" w:line="240" w:lineRule="auto"/>
            </w:pPr>
            <w:r>
              <w:rPr>
                <w:b w:val="0"/>
                <w:sz w:val="18"/>
              </w:rPr>
              <w:t>FR63</w:t>
            </w:r>
          </w:p>
        </w:tc>
        <w:tc>
          <w:tcPr>
            <w:tcW w:type="dxa" w:w="1289"/>
          </w:tcPr>
          <w:p>
            <w:pPr>
              <w:spacing w:after="0" w:line="240" w:lineRule="auto"/>
              <w:jc w:val="right"/>
            </w:pPr>
            <w:r>
              <w:rPr>
                <w:b w:val="0"/>
                <w:sz w:val="18"/>
              </w:rPr>
              <w:t>France</w:t>
            </w:r>
          </w:p>
        </w:tc>
        <w:tc>
          <w:tcPr>
            <w:tcW w:type="dxa" w:w="1289"/>
          </w:tcPr>
          <w:p>
            <w:pPr>
              <w:spacing w:after="0" w:line="240" w:lineRule="auto"/>
              <w:jc w:val="right"/>
            </w:pPr>
            <w:r>
              <w:rPr>
                <w:b w:val="0"/>
                <w:sz w:val="18"/>
              </w:rPr>
              <w:t>Barley</w:t>
            </w:r>
          </w:p>
        </w:tc>
        <w:tc>
          <w:tcPr>
            <w:tcW w:type="dxa" w:w="1289"/>
          </w:tcPr>
          <w:p>
            <w:pPr>
              <w:spacing w:after="0" w:line="240" w:lineRule="auto"/>
              <w:jc w:val="right"/>
            </w:pPr>
            <w:r>
              <w:rPr>
                <w:b w:val="0"/>
                <w:sz w:val="18"/>
              </w:rPr>
              <w:t>2017</w:t>
            </w:r>
          </w:p>
        </w:tc>
        <w:tc>
          <w:tcPr>
            <w:tcW w:type="dxa" w:w="1289"/>
          </w:tcPr>
          <w:p>
            <w:pPr>
              <w:spacing w:after="0" w:line="240" w:lineRule="auto"/>
              <w:jc w:val="right"/>
            </w:pPr>
            <w:r>
              <w:rPr>
                <w:b w:val="0"/>
                <w:sz w:val="18"/>
              </w:rPr>
              <w:t>5.24</w:t>
            </w:r>
          </w:p>
        </w:tc>
        <w:tc>
          <w:tcPr>
            <w:tcW w:type="dxa" w:w="1289"/>
          </w:tcPr>
          <w:p>
            <w:pPr>
              <w:spacing w:after="0" w:line="240" w:lineRule="auto"/>
              <w:jc w:val="right"/>
            </w:pPr>
            <w:r>
              <w:rPr>
                <w:b w:val="0"/>
                <w:sz w:val="18"/>
              </w:rPr>
              <w:t>456</w:t>
            </w:r>
          </w:p>
        </w:tc>
        <w:tc>
          <w:tcPr>
            <w:tcW w:type="dxa" w:w="1289"/>
          </w:tcPr>
          <w:p>
            <w:pPr>
              <w:spacing w:after="0" w:line="240" w:lineRule="auto"/>
              <w:jc w:val="right"/>
            </w:pPr>
            <w:r>
              <w:rPr>
                <w:b w:val="0"/>
                <w:sz w:val="18"/>
              </w:rPr>
              <w:t>87</w:t>
            </w:r>
          </w:p>
        </w:tc>
      </w:tr>
      <w:tr>
        <w:tc>
          <w:tcPr>
            <w:tcW w:type="dxa" w:w="1289"/>
          </w:tcPr>
          <w:p>
            <w:pPr>
              <w:spacing w:after="0" w:line="240" w:lineRule="auto"/>
            </w:pPr>
            <w:r>
              <w:rPr>
                <w:b w:val="0"/>
                <w:sz w:val="18"/>
              </w:rPr>
              <w:t>SE08</w:t>
            </w:r>
          </w:p>
        </w:tc>
        <w:tc>
          <w:tcPr>
            <w:tcW w:type="dxa" w:w="1289"/>
          </w:tcPr>
          <w:p>
            <w:pPr>
              <w:spacing w:after="0" w:line="240" w:lineRule="auto"/>
              <w:jc w:val="right"/>
            </w:pPr>
            <w:r>
              <w:rPr>
                <w:b w:val="0"/>
                <w:sz w:val="18"/>
              </w:rPr>
              <w:t>Sweden</w:t>
            </w:r>
          </w:p>
        </w:tc>
        <w:tc>
          <w:tcPr>
            <w:tcW w:type="dxa" w:w="1289"/>
          </w:tcPr>
          <w:p>
            <w:pPr>
              <w:spacing w:after="0" w:line="240" w:lineRule="auto"/>
              <w:jc w:val="right"/>
            </w:pPr>
            <w:r>
              <w:rPr>
                <w:b w:val="0"/>
                <w:sz w:val="18"/>
              </w:rPr>
              <w:t>Barley</w:t>
            </w:r>
          </w:p>
        </w:tc>
        <w:tc>
          <w:tcPr>
            <w:tcW w:type="dxa" w:w="1289"/>
          </w:tcPr>
          <w:p>
            <w:pPr>
              <w:spacing w:after="0" w:line="240" w:lineRule="auto"/>
              <w:jc w:val="right"/>
            </w:pPr>
            <w:r>
              <w:rPr>
                <w:b w:val="0"/>
                <w:sz w:val="18"/>
              </w:rPr>
              <w:t>2018</w:t>
            </w:r>
          </w:p>
        </w:tc>
        <w:tc>
          <w:tcPr>
            <w:tcW w:type="dxa" w:w="1289"/>
          </w:tcPr>
          <w:p>
            <w:pPr>
              <w:spacing w:after="0" w:line="240" w:lineRule="auto"/>
              <w:jc w:val="right"/>
            </w:pPr>
            <w:r>
              <w:rPr>
                <w:b w:val="0"/>
                <w:sz w:val="18"/>
              </w:rPr>
              <w:t>3.11</w:t>
            </w:r>
          </w:p>
        </w:tc>
        <w:tc>
          <w:tcPr>
            <w:tcW w:type="dxa" w:w="1289"/>
          </w:tcPr>
          <w:p>
            <w:pPr>
              <w:spacing w:after="0" w:line="240" w:lineRule="auto"/>
              <w:jc w:val="right"/>
            </w:pPr>
            <w:r>
              <w:rPr>
                <w:b w:val="0"/>
                <w:sz w:val="18"/>
              </w:rPr>
              <w:t>252</w:t>
            </w:r>
          </w:p>
        </w:tc>
        <w:tc>
          <w:tcPr>
            <w:tcW w:type="dxa" w:w="1289"/>
          </w:tcPr>
          <w:p>
            <w:pPr>
              <w:spacing w:after="0" w:line="240" w:lineRule="auto"/>
              <w:jc w:val="right"/>
            </w:pPr>
            <w:r>
              <w:rPr>
                <w:b w:val="0"/>
                <w:sz w:val="18"/>
              </w:rPr>
              <w:t>81</w:t>
            </w:r>
          </w:p>
        </w:tc>
      </w:tr>
    </w:tbl>
    <w:p>
      <w:pPr>
        <w:spacing w:after="40"/>
      </w:pPr>
    </w:p>
    <w:p>
      <w:pPr>
        <w:pStyle w:val="Caption"/>
        <w:keepNext/>
      </w:pPr>
      <w:r>
        <w:t>Table 6. Region-crops in the high-yield, high-surplus quadrant in both 2017 and 2018, by country.</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E1E0D9"/>
          </w:tcPr>
          <w:p>
            <w:pPr>
              <w:spacing w:after="0" w:line="240" w:lineRule="auto"/>
            </w:pPr>
            <w:r>
              <w:rPr>
                <w:b/>
                <w:sz w:val="18"/>
              </w:rPr>
              <w:t>Country</w:t>
            </w:r>
          </w:p>
        </w:tc>
        <w:tc>
          <w:tcPr>
            <w:tcW w:type="dxa" w:w="4513"/>
            <w:shd w:val="clear" w:color="auto" w:fill="E1E0D9"/>
          </w:tcPr>
          <w:p>
            <w:pPr>
              <w:spacing w:after="0" w:line="240" w:lineRule="auto"/>
              <w:jc w:val="right"/>
            </w:pPr>
            <w:r>
              <w:rPr>
                <w:b/>
                <w:sz w:val="18"/>
              </w:rPr>
              <w:t>Region-crops in both years</w:t>
            </w:r>
          </w:p>
        </w:tc>
      </w:tr>
      <w:tr>
        <w:tc>
          <w:tcPr>
            <w:tcW w:type="dxa" w:w="4513"/>
          </w:tcPr>
          <w:p>
            <w:pPr>
              <w:spacing w:after="0" w:line="240" w:lineRule="auto"/>
            </w:pPr>
            <w:r>
              <w:rPr>
                <w:b w:val="0"/>
                <w:sz w:val="18"/>
              </w:rPr>
              <w:t>Germany</w:t>
            </w:r>
          </w:p>
        </w:tc>
        <w:tc>
          <w:tcPr>
            <w:tcW w:type="dxa" w:w="4513"/>
          </w:tcPr>
          <w:p>
            <w:pPr>
              <w:spacing w:after="0" w:line="240" w:lineRule="auto"/>
              <w:jc w:val="right"/>
            </w:pPr>
            <w:r>
              <w:rPr>
                <w:b w:val="0"/>
                <w:sz w:val="18"/>
              </w:rPr>
              <w:t>57</w:t>
            </w:r>
          </w:p>
        </w:tc>
      </w:tr>
      <w:tr>
        <w:tc>
          <w:tcPr>
            <w:tcW w:type="dxa" w:w="4513"/>
          </w:tcPr>
          <w:p>
            <w:pPr>
              <w:spacing w:after="0" w:line="240" w:lineRule="auto"/>
            </w:pPr>
            <w:r>
              <w:rPr>
                <w:b w:val="0"/>
                <w:sz w:val="18"/>
              </w:rPr>
              <w:t>United Kingdom</w:t>
            </w:r>
          </w:p>
        </w:tc>
        <w:tc>
          <w:tcPr>
            <w:tcW w:type="dxa" w:w="4513"/>
          </w:tcPr>
          <w:p>
            <w:pPr>
              <w:spacing w:after="0" w:line="240" w:lineRule="auto"/>
              <w:jc w:val="right"/>
            </w:pPr>
            <w:r>
              <w:rPr>
                <w:b w:val="0"/>
                <w:sz w:val="18"/>
              </w:rPr>
              <w:t>27</w:t>
            </w:r>
          </w:p>
        </w:tc>
      </w:tr>
      <w:tr>
        <w:tc>
          <w:tcPr>
            <w:tcW w:type="dxa" w:w="4513"/>
          </w:tcPr>
          <w:p>
            <w:pPr>
              <w:spacing w:after="0" w:line="240" w:lineRule="auto"/>
            </w:pPr>
            <w:r>
              <w:rPr>
                <w:b w:val="0"/>
                <w:sz w:val="18"/>
              </w:rPr>
              <w:t>Netherlands</w:t>
            </w:r>
          </w:p>
        </w:tc>
        <w:tc>
          <w:tcPr>
            <w:tcW w:type="dxa" w:w="4513"/>
          </w:tcPr>
          <w:p>
            <w:pPr>
              <w:spacing w:after="0" w:line="240" w:lineRule="auto"/>
              <w:jc w:val="right"/>
            </w:pPr>
            <w:r>
              <w:rPr>
                <w:b w:val="0"/>
                <w:sz w:val="18"/>
              </w:rPr>
              <w:t>22</w:t>
            </w:r>
          </w:p>
        </w:tc>
      </w:tr>
      <w:tr>
        <w:tc>
          <w:tcPr>
            <w:tcW w:type="dxa" w:w="4513"/>
          </w:tcPr>
          <w:p>
            <w:pPr>
              <w:spacing w:after="0" w:line="240" w:lineRule="auto"/>
            </w:pPr>
            <w:r>
              <w:rPr>
                <w:b w:val="0"/>
                <w:sz w:val="18"/>
              </w:rPr>
              <w:t>Belgium</w:t>
            </w:r>
          </w:p>
        </w:tc>
        <w:tc>
          <w:tcPr>
            <w:tcW w:type="dxa" w:w="4513"/>
          </w:tcPr>
          <w:p>
            <w:pPr>
              <w:spacing w:after="0" w:line="240" w:lineRule="auto"/>
              <w:jc w:val="right"/>
            </w:pPr>
            <w:r>
              <w:rPr>
                <w:b w:val="0"/>
                <w:sz w:val="18"/>
              </w:rPr>
              <w:t>21</w:t>
            </w:r>
          </w:p>
        </w:tc>
      </w:tr>
      <w:tr>
        <w:tc>
          <w:tcPr>
            <w:tcW w:type="dxa" w:w="4513"/>
          </w:tcPr>
          <w:p>
            <w:pPr>
              <w:spacing w:after="0" w:line="240" w:lineRule="auto"/>
            </w:pPr>
            <w:r>
              <w:rPr>
                <w:b w:val="0"/>
                <w:sz w:val="18"/>
              </w:rPr>
              <w:t>France</w:t>
            </w:r>
          </w:p>
        </w:tc>
        <w:tc>
          <w:tcPr>
            <w:tcW w:type="dxa" w:w="4513"/>
          </w:tcPr>
          <w:p>
            <w:pPr>
              <w:spacing w:after="0" w:line="240" w:lineRule="auto"/>
              <w:jc w:val="right"/>
            </w:pPr>
            <w:r>
              <w:rPr>
                <w:b w:val="0"/>
                <w:sz w:val="18"/>
              </w:rPr>
              <w:t>19</w:t>
            </w:r>
          </w:p>
        </w:tc>
      </w:tr>
      <w:tr>
        <w:tc>
          <w:tcPr>
            <w:tcW w:type="dxa" w:w="4513"/>
          </w:tcPr>
          <w:p>
            <w:pPr>
              <w:spacing w:after="0" w:line="240" w:lineRule="auto"/>
            </w:pPr>
            <w:r>
              <w:rPr>
                <w:b w:val="0"/>
                <w:sz w:val="18"/>
              </w:rPr>
              <w:t>Italy</w:t>
            </w:r>
          </w:p>
        </w:tc>
        <w:tc>
          <w:tcPr>
            <w:tcW w:type="dxa" w:w="4513"/>
          </w:tcPr>
          <w:p>
            <w:pPr>
              <w:spacing w:after="0" w:line="240" w:lineRule="auto"/>
              <w:jc w:val="right"/>
            </w:pPr>
            <w:r>
              <w:rPr>
                <w:b w:val="0"/>
                <w:sz w:val="18"/>
              </w:rPr>
              <w:t>8</w:t>
            </w:r>
          </w:p>
        </w:tc>
      </w:tr>
      <w:tr>
        <w:tc>
          <w:tcPr>
            <w:tcW w:type="dxa" w:w="4513"/>
          </w:tcPr>
          <w:p>
            <w:pPr>
              <w:spacing w:after="0" w:line="240" w:lineRule="auto"/>
            </w:pPr>
            <w:r>
              <w:rPr>
                <w:b w:val="0"/>
                <w:sz w:val="18"/>
              </w:rPr>
              <w:t>Austria</w:t>
            </w:r>
          </w:p>
        </w:tc>
        <w:tc>
          <w:tcPr>
            <w:tcW w:type="dxa" w:w="4513"/>
          </w:tcPr>
          <w:p>
            <w:pPr>
              <w:spacing w:after="0" w:line="240" w:lineRule="auto"/>
              <w:jc w:val="right"/>
            </w:pPr>
            <w:r>
              <w:rPr>
                <w:b w:val="0"/>
                <w:sz w:val="18"/>
              </w:rPr>
              <w:t>7</w:t>
            </w:r>
          </w:p>
        </w:tc>
      </w:tr>
      <w:tr>
        <w:tc>
          <w:tcPr>
            <w:tcW w:type="dxa" w:w="4513"/>
          </w:tcPr>
          <w:p>
            <w:pPr>
              <w:spacing w:after="0" w:line="240" w:lineRule="auto"/>
            </w:pPr>
            <w:r>
              <w:rPr>
                <w:b w:val="0"/>
                <w:sz w:val="18"/>
              </w:rPr>
              <w:t>Spain</w:t>
            </w:r>
          </w:p>
        </w:tc>
        <w:tc>
          <w:tcPr>
            <w:tcW w:type="dxa" w:w="4513"/>
          </w:tcPr>
          <w:p>
            <w:pPr>
              <w:spacing w:after="0" w:line="240" w:lineRule="auto"/>
              <w:jc w:val="right"/>
            </w:pPr>
            <w:r>
              <w:rPr>
                <w:b w:val="0"/>
                <w:sz w:val="18"/>
              </w:rPr>
              <w:t>7</w:t>
            </w:r>
          </w:p>
        </w:tc>
      </w:tr>
    </w:tbl>
    <w:p>
      <w:pPr>
        <w:spacing w:after="40"/>
      </w:pPr>
    </w:p>
    <w:p>
      <w:r>
        <w:rPr>
          <w:b/>
        </w:rPr>
        <w:t xml:space="preserve">Reading. </w:t>
      </w:r>
      <w:r>
        <w:t>The ranking is stable: 88% to 94% of region-crops sit in the same quadrant in both years. The high-yield, high-surplus group is concentrated in Germany, the United Kingdom, the Netherlands, Belgium and France, regions with intensive arable systems and high manure loads. That is where trimming inputs is most likely to cut surplus without large yield losses, a hypothesis that needs field trials.</w:t>
      </w:r>
    </w:p>
    <w:p>
      <w:pPr>
        <w:pStyle w:val="Heading1"/>
      </w:pPr>
      <w:r>
        <w:t>7. Limitations visible in the results</w:t>
      </w:r>
    </w:p>
    <w:p>
      <w:pPr>
        <w:pStyle w:val="ListBullet"/>
      </w:pPr>
      <w:r>
        <w:t>The per-crop surplus is constructed from CAPRI and HaNi-Crop, not measured, and CAPRI itself is partly modelled. Accuracy against it shows agreement with these sources, not with field truth.</w:t>
      </w:r>
    </w:p>
    <w:p>
      <w:pPr>
        <w:pStyle w:val="ListBullet"/>
      </w:pPr>
      <w:r>
        <w:t>Removal equals yield times a fixed grain N content, so yield and removal carry the same information, and surplus R² is inflated by the budget algebra.</w:t>
      </w:r>
    </w:p>
    <w:p>
      <w:pPr>
        <w:pStyle w:val="ListBullet"/>
      </w:pPr>
      <w:r>
        <w:t>No weather inputs: the 2018 drought is the single largest error source.</w:t>
      </w:r>
    </w:p>
    <w:p>
      <w:pPr>
        <w:pStyle w:val="ListBullet"/>
      </w:pPr>
      <w:r>
        <w:t>In countries not seen in training, the model separates regions within a crop only moderately (R² from 0.08 for maize to 0.54 for wheat), and on later years it is slightly less accurate than reusing a region's own past average yield (0.85 against 0.76 t/ha).</w:t>
      </w:r>
    </w:p>
    <w:p>
      <w:pPr>
        <w:pStyle w:val="ListBullet"/>
      </w:pPr>
      <w:r>
        <w:t>Deposition is a 2006-2010 average repeated for every year, so it cannot explain change over time.</w:t>
      </w:r>
    </w:p>
    <w:p>
      <w:pPr>
        <w:pStyle w:val="ListBullet"/>
      </w:pPr>
      <w:r>
        <w:t>Countries with few test rows (Luxembourg, Cyprus) have unstable error estimates.</w:t>
      </w:r>
    </w:p>
    <w:p>
      <w:pPr>
        <w:pStyle w:val="ListBullet"/>
      </w:pPr>
      <w:r>
        <w:t>HaNi-Crop lacks grassland and several crop groups, and it is still under peer review (used with the authors' permission).</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 w:eastAsiaTheme="majorEastAsia" w:hAnsiTheme="majorHAnsi" w:cstheme="majorBidi" w:ascii="Arial" w:hAnsi="Arial"/>
      <w:b/>
      <w:bCs/>
      <w:color w:val="0B0B0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 w:eastAsiaTheme="majorEastAsia" w:hAnsiTheme="majorHAnsi" w:cstheme="majorBidi" w:ascii="Arial" w:hAnsi="Arial"/>
      <w:b/>
      <w:bCs/>
      <w:color w:val="0B0B0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 w:eastAsiaTheme="majorEastAsia" w:hAnsiTheme="majorHAnsi" w:cstheme="majorBidi" w:ascii="Arial" w:hAnsi="Arial"/>
      <w:b/>
      <w:bCs/>
      <w:color w:val="0B0B0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 w:eastAsiaTheme="majorEastAsia" w:hAnsiTheme="majorHAnsi" w:cstheme="majorBidi" w:ascii="Arial" w:hAnsi="Arial"/>
      <w:color w:val="0B0B0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i w:val="0"/>
      <w:color w:val="52514E"/>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