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92FCBE" w14:textId="4F49DCFC" w:rsidR="00E222DA" w:rsidRPr="000D6DFC" w:rsidRDefault="00E222DA" w:rsidP="000D6DFC">
      <w:pPr>
        <w:pBdr>
          <w:bottom w:val="double" w:sz="6" w:space="1" w:color="auto"/>
        </w:pBdr>
        <w:spacing w:after="0" w:line="240" w:lineRule="auto"/>
        <w:jc w:val="center"/>
        <w:rPr>
          <w:rFonts w:ascii="Times New Roman" w:eastAsia="Times" w:hAnsi="Times New Roman" w:cs="Times New Roman"/>
          <w:b/>
          <w:sz w:val="26"/>
          <w:szCs w:val="26"/>
        </w:rPr>
      </w:pPr>
      <w:r w:rsidRPr="000D6DFC">
        <w:rPr>
          <w:rFonts w:ascii="Times New Roman" w:eastAsia="Times" w:hAnsi="Times New Roman" w:cs="Times New Roman"/>
          <w:b/>
          <w:sz w:val="26"/>
          <w:szCs w:val="26"/>
        </w:rPr>
        <w:t>Day 10</w:t>
      </w:r>
      <w:r w:rsidR="000D6DFC" w:rsidRPr="000D6DFC">
        <w:rPr>
          <w:rFonts w:ascii="Times New Roman" w:eastAsia="Times" w:hAnsi="Times New Roman" w:cs="Times New Roman"/>
          <w:b/>
          <w:sz w:val="26"/>
          <w:szCs w:val="26"/>
        </w:rPr>
        <w:t xml:space="preserve"> Joseph’s Story: </w:t>
      </w:r>
      <w:r w:rsidRPr="000D6DFC">
        <w:rPr>
          <w:rFonts w:ascii="Times New Roman" w:eastAsia="Times" w:hAnsi="Times New Roman" w:cs="Times New Roman"/>
          <w:b/>
          <w:sz w:val="26"/>
          <w:szCs w:val="26"/>
        </w:rPr>
        <w:t xml:space="preserve"> Readings: Genesis 37-50</w:t>
      </w:r>
    </w:p>
    <w:p w14:paraId="5DF6E408" w14:textId="77777777" w:rsidR="00E222DA" w:rsidRPr="00EF2445" w:rsidRDefault="00E222DA" w:rsidP="00E222DA">
      <w:pPr>
        <w:pBdr>
          <w:bottom w:val="double" w:sz="6" w:space="1" w:color="auto"/>
        </w:pBdr>
        <w:spacing w:after="0" w:line="240" w:lineRule="auto"/>
        <w:rPr>
          <w:rFonts w:ascii="Times New Roman" w:eastAsia="Times" w:hAnsi="Times New Roman" w:cs="Times New Roman"/>
          <w:sz w:val="24"/>
          <w:szCs w:val="24"/>
        </w:rPr>
      </w:pPr>
    </w:p>
    <w:p w14:paraId="6396ED08" w14:textId="77777777" w:rsidR="00E222DA" w:rsidRPr="00EF2445" w:rsidRDefault="00E222DA" w:rsidP="00E222DA">
      <w:pPr>
        <w:spacing w:after="0" w:line="240" w:lineRule="auto"/>
        <w:rPr>
          <w:rFonts w:ascii="Times New Roman" w:eastAsia="Times" w:hAnsi="Times New Roman" w:cs="Times New Roman"/>
          <w:sz w:val="24"/>
          <w:szCs w:val="24"/>
        </w:rPr>
      </w:pPr>
    </w:p>
    <w:p w14:paraId="79D4DBE7" w14:textId="6C252D69" w:rsidR="00E222DA" w:rsidRPr="000D6DFC" w:rsidRDefault="00E222DA" w:rsidP="000D6DFC">
      <w:pPr>
        <w:spacing w:after="0" w:line="240" w:lineRule="auto"/>
        <w:jc w:val="center"/>
        <w:rPr>
          <w:rFonts w:ascii="Times New Roman" w:eastAsia="Times" w:hAnsi="Times New Roman" w:cs="Times New Roman"/>
          <w:b/>
          <w:sz w:val="24"/>
          <w:szCs w:val="24"/>
        </w:rPr>
      </w:pPr>
      <w:r w:rsidRPr="00EF2445">
        <w:rPr>
          <w:rFonts w:ascii="Times New Roman" w:eastAsia="Times" w:hAnsi="Times New Roman" w:cs="Times New Roman"/>
          <w:b/>
          <w:sz w:val="24"/>
          <w:szCs w:val="24"/>
        </w:rPr>
        <w:t>Historical Background of Israel</w:t>
      </w:r>
      <w:r w:rsidRPr="00EF2445">
        <w:rPr>
          <w:rFonts w:ascii="Times New Roman" w:eastAsia="Times" w:hAnsi="Times New Roman" w:cs="Times New Roman"/>
          <w:sz w:val="24"/>
          <w:szCs w:val="24"/>
        </w:rPr>
        <w:tab/>
      </w:r>
    </w:p>
    <w:p w14:paraId="76053895" w14:textId="77777777" w:rsidR="00E222DA" w:rsidRPr="00EF2445" w:rsidRDefault="00E222DA" w:rsidP="00E222DA">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As a result of family tensions produced when Jacob and Rachel’s son Joseph shared his prophetic dreams with his family, Joseph was sold into slavery in Egypt by his older brothers (Gen. 37).  The domination of northern Egypt by the Hyksos, non-Egyptians (mainly Semites known as Amorites) who had migrated into the Nile delta area and who exercised control from ca. 1700-1550 B.C., is probably the historical context in which Jehovah arranged Joseph’s rise to power in Egypt.  Through his position he was able to preserve his family from the effects of a famine in Canaan as they relocated to northeastern Egypt.  The family’s move to Egypt was permanent:  Jacob, and eventually all his children, died there (Gen. 39-50).  As noted above, the Bible is presently the sole source for knowledge about these people and their experiences.  </w:t>
      </w:r>
    </w:p>
    <w:p w14:paraId="41589C26" w14:textId="77777777" w:rsidR="00E222DA" w:rsidRPr="00EF2445" w:rsidRDefault="00E222DA" w:rsidP="00E222DA">
      <w:pPr>
        <w:spacing w:after="0" w:line="240" w:lineRule="auto"/>
        <w:jc w:val="right"/>
        <w:rPr>
          <w:rFonts w:ascii="Times New Roman" w:eastAsia="Times" w:hAnsi="Times New Roman" w:cs="Times New Roman"/>
          <w:sz w:val="20"/>
          <w:szCs w:val="24"/>
        </w:rPr>
      </w:pPr>
      <w:r w:rsidRPr="00EF2445">
        <w:rPr>
          <w:rFonts w:ascii="Times New Roman" w:eastAsia="Times" w:hAnsi="Times New Roman" w:cs="Times New Roman"/>
          <w:sz w:val="20"/>
          <w:szCs w:val="24"/>
        </w:rPr>
        <w:t xml:space="preserve">Dana M. Pike, “Israel, Historical Background of,” in Dennis </w:t>
      </w:r>
      <w:proofErr w:type="spellStart"/>
      <w:r w:rsidRPr="00EF2445">
        <w:rPr>
          <w:rFonts w:ascii="Times New Roman" w:eastAsia="Times" w:hAnsi="Times New Roman" w:cs="Times New Roman"/>
          <w:sz w:val="20"/>
          <w:szCs w:val="24"/>
        </w:rPr>
        <w:t>Largey</w:t>
      </w:r>
      <w:proofErr w:type="spellEnd"/>
      <w:r w:rsidRPr="00EF2445">
        <w:rPr>
          <w:rFonts w:ascii="Times New Roman" w:eastAsia="Times" w:hAnsi="Times New Roman" w:cs="Times New Roman"/>
          <w:sz w:val="20"/>
          <w:szCs w:val="24"/>
        </w:rPr>
        <w:t xml:space="preserve">, ed., </w:t>
      </w:r>
      <w:r w:rsidRPr="00EF2445">
        <w:rPr>
          <w:rFonts w:ascii="Times New Roman" w:eastAsia="Times" w:hAnsi="Times New Roman" w:cs="Times New Roman"/>
          <w:i/>
          <w:sz w:val="20"/>
          <w:szCs w:val="24"/>
        </w:rPr>
        <w:t>Book of Mormon Reference Companion</w:t>
      </w:r>
      <w:r w:rsidRPr="00EF2445">
        <w:rPr>
          <w:rFonts w:ascii="Times New Roman" w:eastAsia="Times" w:hAnsi="Times New Roman" w:cs="Times New Roman"/>
          <w:sz w:val="20"/>
          <w:szCs w:val="24"/>
        </w:rPr>
        <w:t xml:space="preserve"> </w:t>
      </w:r>
    </w:p>
    <w:p w14:paraId="7F6B268E" w14:textId="77777777" w:rsidR="00E222DA" w:rsidRPr="00EF2445" w:rsidRDefault="00E222DA" w:rsidP="00E222DA">
      <w:pPr>
        <w:spacing w:after="0" w:line="240" w:lineRule="auto"/>
        <w:jc w:val="right"/>
        <w:rPr>
          <w:rFonts w:ascii="Times New Roman" w:eastAsia="Times" w:hAnsi="Times New Roman" w:cs="Times New Roman"/>
          <w:sz w:val="20"/>
          <w:szCs w:val="24"/>
        </w:rPr>
      </w:pPr>
      <w:r w:rsidRPr="00EF2445">
        <w:rPr>
          <w:rFonts w:ascii="Times New Roman" w:eastAsia="Times" w:hAnsi="Times New Roman" w:cs="Times New Roman"/>
          <w:sz w:val="20"/>
          <w:szCs w:val="24"/>
        </w:rPr>
        <w:t>(2003; Deseret), 408.</w:t>
      </w:r>
    </w:p>
    <w:p w14:paraId="4CB32419" w14:textId="77777777" w:rsidR="00E222DA" w:rsidRPr="00EF2445" w:rsidRDefault="00E222DA" w:rsidP="00E222DA">
      <w:pPr>
        <w:pBdr>
          <w:bottom w:val="double" w:sz="6" w:space="1" w:color="auto"/>
        </w:pBdr>
        <w:spacing w:after="0" w:line="240" w:lineRule="auto"/>
        <w:rPr>
          <w:rFonts w:ascii="Times New Roman" w:eastAsia="Times" w:hAnsi="Times New Roman" w:cs="Times New Roman"/>
          <w:sz w:val="24"/>
          <w:szCs w:val="24"/>
        </w:rPr>
      </w:pPr>
    </w:p>
    <w:p w14:paraId="0F7CBF82" w14:textId="77777777" w:rsidR="00E222DA" w:rsidRPr="00EF2445" w:rsidRDefault="00E222DA" w:rsidP="00E222DA">
      <w:pPr>
        <w:spacing w:after="0" w:line="240" w:lineRule="auto"/>
        <w:rPr>
          <w:rFonts w:ascii="Times New Roman" w:eastAsia="Times" w:hAnsi="Times New Roman" w:cs="Times New Roman"/>
          <w:sz w:val="24"/>
          <w:szCs w:val="24"/>
        </w:rPr>
      </w:pPr>
    </w:p>
    <w:p w14:paraId="7EAD230D" w14:textId="24BF6165" w:rsidR="00E222DA" w:rsidRPr="00EF2445" w:rsidRDefault="00E222DA" w:rsidP="000D6DFC">
      <w:pPr>
        <w:spacing w:after="0" w:line="240" w:lineRule="auto"/>
        <w:jc w:val="center"/>
        <w:rPr>
          <w:rFonts w:ascii="Times New Roman" w:eastAsia="Times" w:hAnsi="Times New Roman" w:cs="Times New Roman"/>
          <w:b/>
          <w:sz w:val="24"/>
          <w:szCs w:val="24"/>
        </w:rPr>
      </w:pPr>
      <w:r w:rsidRPr="00EF2445">
        <w:rPr>
          <w:rFonts w:ascii="Times New Roman" w:eastAsia="Times" w:hAnsi="Times New Roman" w:cs="Times New Roman"/>
          <w:b/>
          <w:sz w:val="24"/>
          <w:szCs w:val="24"/>
        </w:rPr>
        <w:t>The Hyksos</w:t>
      </w:r>
    </w:p>
    <w:p w14:paraId="5326AE7F" w14:textId="77777777" w:rsidR="00E222DA" w:rsidRPr="00EF2445" w:rsidRDefault="00E222DA" w:rsidP="00E222DA">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The name Hyksos came into English from Greek, originally deriving from the Egyptian designation </w:t>
      </w:r>
      <w:r w:rsidRPr="00EF2445">
        <w:rPr>
          <w:rFonts w:ascii="Times New Roman" w:eastAsia="Times" w:hAnsi="Times New Roman" w:cs="Times New Roman"/>
          <w:i/>
          <w:sz w:val="24"/>
          <w:szCs w:val="24"/>
        </w:rPr>
        <w:t>hq3w h3swt</w:t>
      </w:r>
      <w:r w:rsidRPr="00EF2445">
        <w:rPr>
          <w:rFonts w:ascii="Times New Roman" w:eastAsia="Times" w:hAnsi="Times New Roman" w:cs="Times New Roman"/>
          <w:sz w:val="24"/>
          <w:szCs w:val="24"/>
        </w:rPr>
        <w:t xml:space="preserve">, “rulers of foreign lands/countries.”  This title was used by the third century BC Egyptian historian </w:t>
      </w:r>
      <w:proofErr w:type="spellStart"/>
      <w:r w:rsidRPr="00EF2445">
        <w:rPr>
          <w:rFonts w:ascii="Times New Roman" w:eastAsia="Times" w:hAnsi="Times New Roman" w:cs="Times New Roman"/>
          <w:sz w:val="24"/>
          <w:szCs w:val="24"/>
        </w:rPr>
        <w:t>Manetho</w:t>
      </w:r>
      <w:proofErr w:type="spellEnd"/>
      <w:r w:rsidRPr="00EF2445">
        <w:rPr>
          <w:rFonts w:ascii="Times New Roman" w:eastAsia="Times" w:hAnsi="Times New Roman" w:cs="Times New Roman"/>
          <w:sz w:val="24"/>
          <w:szCs w:val="24"/>
        </w:rPr>
        <w:t xml:space="preserve"> to designate the foreign kings that constituted the fifteenth and sixteenth Egyptian dynasties.  Unfortunately, </w:t>
      </w:r>
      <w:proofErr w:type="spellStart"/>
      <w:r w:rsidRPr="00EF2445">
        <w:rPr>
          <w:rFonts w:ascii="Times New Roman" w:eastAsia="Times" w:hAnsi="Times New Roman" w:cs="Times New Roman"/>
          <w:sz w:val="24"/>
          <w:szCs w:val="24"/>
        </w:rPr>
        <w:t>Manetho</w:t>
      </w:r>
      <w:proofErr w:type="spellEnd"/>
      <w:r w:rsidRPr="00EF2445">
        <w:rPr>
          <w:rFonts w:ascii="Times New Roman" w:eastAsia="Times" w:hAnsi="Times New Roman" w:cs="Times New Roman"/>
          <w:sz w:val="24"/>
          <w:szCs w:val="24"/>
        </w:rPr>
        <w:t xml:space="preserve"> incorrectly explained the meaning of this phrase as “shepherd kings,” a title that appears in a number of outdated English resources.  The Hyksos ruled northern or Lower Egypt from about 1650–1550 BC, the so-called Second Intermediate Period in Egyptian history, coming between the Middle and New Kingdoms. </w:t>
      </w:r>
    </w:p>
    <w:p w14:paraId="0E0112E2" w14:textId="77777777" w:rsidR="00E222DA" w:rsidRPr="00EF2445" w:rsidRDefault="00E222DA" w:rsidP="00E222DA">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Scholars have long debated the origins of the Hyksos. A growing body of textual and archaeological evidence indicates they were primarily West Asiatic Semites, including peoples from greater Canaan. …</w:t>
      </w:r>
    </w:p>
    <w:p w14:paraId="5A3E2C49" w14:textId="77777777" w:rsidR="00E222DA" w:rsidRPr="00EF2445" w:rsidRDefault="00E222DA" w:rsidP="00E222DA">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The Hyksos domination of northern Egypt [for a century] had a significant political impact on Egyptians.  Despite previous times of internal strife and decay, no foreigners prior to the Hyksos had ever conquered Egypt.  The powerful imperialism of the following New Kingdom period, including the conquest of Canaan and Syria up to the Euphrates River, and the ensuing Egyptian control of Canaan for a few centuries, attest at least in part to the Egyptian response to the Hyksos era in Egypt. </w:t>
      </w:r>
    </w:p>
    <w:p w14:paraId="1E35D19A" w14:textId="77777777" w:rsidR="00E222DA" w:rsidRPr="00EF2445" w:rsidRDefault="00E222DA" w:rsidP="00E222DA">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Many conservative scholars correlate Joseph’s rise to power in Egypt with the domination of these West Semitic Hyksos, assuming the probability of Joseph’s success to be greater during the Hyksos period than when native Egyptians controlled all of Egypt.  Genesis 47 locates Joseph and his family in Goshen, in the [Hyksos controlled] east Delta region.  According to this scenario, the pharaoh mentioned in Genesis 41 onward was a Hyksos king, ruling northern, but not all of, Egypt.  And the claim in Exodus 1:8 that following the death of Joseph “there arose up a new king over Egypt, which knew not Joseph,” would refer to the reestablishment of native Egyptian rule over the Nile Delta region. </w:t>
      </w:r>
    </w:p>
    <w:p w14:paraId="11B6B5B3" w14:textId="77777777" w:rsidR="00E222DA" w:rsidRPr="00EF2445" w:rsidRDefault="00E222DA" w:rsidP="00E222DA">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Some Latter-day Saint Church leaders have drawn upon the Hyksos rule of Egypt to explain not only Joseph’s rise to power, but also his marriage in Egypt to “</w:t>
      </w:r>
      <w:proofErr w:type="spellStart"/>
      <w:r w:rsidRPr="00EF2445">
        <w:rPr>
          <w:rFonts w:ascii="Times New Roman" w:eastAsia="Times" w:hAnsi="Times New Roman" w:cs="Times New Roman"/>
          <w:sz w:val="24"/>
          <w:szCs w:val="24"/>
        </w:rPr>
        <w:t>Asenath</w:t>
      </w:r>
      <w:proofErr w:type="spellEnd"/>
      <w:r w:rsidRPr="00EF2445">
        <w:rPr>
          <w:rFonts w:ascii="Times New Roman" w:eastAsia="Times" w:hAnsi="Times New Roman" w:cs="Times New Roman"/>
          <w:sz w:val="24"/>
          <w:szCs w:val="24"/>
        </w:rPr>
        <w:t xml:space="preserve"> the daughter of </w:t>
      </w:r>
      <w:proofErr w:type="spellStart"/>
      <w:r w:rsidRPr="00EF2445">
        <w:rPr>
          <w:rFonts w:ascii="Times New Roman" w:eastAsia="Times" w:hAnsi="Times New Roman" w:cs="Times New Roman"/>
          <w:sz w:val="24"/>
          <w:szCs w:val="24"/>
        </w:rPr>
        <w:t>Poti-</w:t>
      </w:r>
      <w:r w:rsidRPr="00EF2445">
        <w:rPr>
          <w:rFonts w:ascii="Times New Roman" w:eastAsia="Times" w:hAnsi="Times New Roman" w:cs="Times New Roman"/>
          <w:sz w:val="24"/>
          <w:szCs w:val="24"/>
        </w:rPr>
        <w:lastRenderedPageBreak/>
        <w:t>pherah</w:t>
      </w:r>
      <w:proofErr w:type="spellEnd"/>
      <w:r w:rsidRPr="00EF2445">
        <w:rPr>
          <w:rFonts w:ascii="Times New Roman" w:eastAsia="Times" w:hAnsi="Times New Roman" w:cs="Times New Roman"/>
          <w:sz w:val="24"/>
          <w:szCs w:val="24"/>
        </w:rPr>
        <w:t xml:space="preserve"> priest of On” (Gen 41:45), the assumption being that </w:t>
      </w:r>
      <w:proofErr w:type="spellStart"/>
      <w:r w:rsidRPr="00EF2445">
        <w:rPr>
          <w:rFonts w:ascii="Times New Roman" w:eastAsia="Times" w:hAnsi="Times New Roman" w:cs="Times New Roman"/>
          <w:sz w:val="24"/>
          <w:szCs w:val="24"/>
        </w:rPr>
        <w:t>Asenath</w:t>
      </w:r>
      <w:proofErr w:type="spellEnd"/>
      <w:r w:rsidRPr="00EF2445">
        <w:rPr>
          <w:rFonts w:ascii="Times New Roman" w:eastAsia="Times" w:hAnsi="Times New Roman" w:cs="Times New Roman"/>
          <w:sz w:val="24"/>
          <w:szCs w:val="24"/>
        </w:rPr>
        <w:t xml:space="preserve"> was then more likely to be of Hyksos, and thus Semitic, descent, rather than Egyptian descent. </w:t>
      </w:r>
    </w:p>
    <w:p w14:paraId="296542B6" w14:textId="77777777" w:rsidR="00E222DA" w:rsidRPr="00EF2445" w:rsidRDefault="00E222DA" w:rsidP="00E222DA">
      <w:pPr>
        <w:spacing w:after="0" w:line="240" w:lineRule="auto"/>
        <w:jc w:val="right"/>
        <w:rPr>
          <w:rFonts w:ascii="Times New Roman" w:eastAsia="Times" w:hAnsi="Times New Roman" w:cs="Times New Roman"/>
          <w:sz w:val="20"/>
          <w:szCs w:val="24"/>
        </w:rPr>
      </w:pPr>
      <w:proofErr w:type="spellStart"/>
      <w:r w:rsidRPr="00EF2445">
        <w:rPr>
          <w:rFonts w:ascii="Times New Roman" w:eastAsia="Times" w:hAnsi="Times New Roman" w:cs="Times New Roman"/>
          <w:sz w:val="20"/>
          <w:szCs w:val="24"/>
        </w:rPr>
        <w:t>Holzapfel</w:t>
      </w:r>
      <w:proofErr w:type="spellEnd"/>
      <w:r w:rsidRPr="00EF2445">
        <w:rPr>
          <w:rFonts w:ascii="Times New Roman" w:eastAsia="Times" w:hAnsi="Times New Roman" w:cs="Times New Roman"/>
          <w:sz w:val="20"/>
          <w:szCs w:val="24"/>
        </w:rPr>
        <w:t xml:space="preserve">, Pike, and </w:t>
      </w:r>
      <w:proofErr w:type="spellStart"/>
      <w:r w:rsidRPr="00EF2445">
        <w:rPr>
          <w:rFonts w:ascii="Times New Roman" w:eastAsia="Times" w:hAnsi="Times New Roman" w:cs="Times New Roman"/>
          <w:sz w:val="20"/>
          <w:szCs w:val="24"/>
        </w:rPr>
        <w:t>Seely</w:t>
      </w:r>
      <w:proofErr w:type="spellEnd"/>
      <w:r w:rsidRPr="00EF2445">
        <w:rPr>
          <w:rFonts w:ascii="Times New Roman" w:eastAsia="Times" w:hAnsi="Times New Roman" w:cs="Times New Roman"/>
          <w:sz w:val="20"/>
          <w:szCs w:val="24"/>
        </w:rPr>
        <w:t xml:space="preserve">, </w:t>
      </w:r>
      <w:r w:rsidRPr="00EF2445">
        <w:rPr>
          <w:rFonts w:ascii="Times New Roman" w:eastAsia="Times" w:hAnsi="Times New Roman" w:cs="Times New Roman"/>
          <w:i/>
          <w:sz w:val="20"/>
          <w:szCs w:val="24"/>
        </w:rPr>
        <w:t>Jehovah and the World of the Old Testament</w:t>
      </w:r>
      <w:r w:rsidRPr="00EF2445">
        <w:rPr>
          <w:rFonts w:ascii="Times New Roman" w:eastAsia="Times" w:hAnsi="Times New Roman" w:cs="Times New Roman"/>
          <w:sz w:val="20"/>
          <w:szCs w:val="24"/>
        </w:rPr>
        <w:t xml:space="preserve"> (2009), 67.</w:t>
      </w:r>
    </w:p>
    <w:p w14:paraId="5ABB5B1F" w14:textId="77777777" w:rsidR="00E222DA" w:rsidRPr="00EF2445" w:rsidRDefault="00E222DA" w:rsidP="00E222DA">
      <w:pPr>
        <w:pBdr>
          <w:bottom w:val="double" w:sz="6" w:space="1" w:color="auto"/>
        </w:pBdr>
        <w:spacing w:after="0" w:line="240" w:lineRule="auto"/>
        <w:ind w:left="720" w:hanging="720"/>
        <w:rPr>
          <w:rFonts w:ascii="Times New Roman" w:eastAsia="Times" w:hAnsi="Times New Roman" w:cs="Times New Roman"/>
          <w:sz w:val="24"/>
          <w:szCs w:val="24"/>
        </w:rPr>
      </w:pPr>
    </w:p>
    <w:p w14:paraId="60A3A4BA" w14:textId="77777777" w:rsidR="00E222DA" w:rsidRPr="00EF2445" w:rsidRDefault="00E222DA" w:rsidP="00E222DA">
      <w:pPr>
        <w:spacing w:after="0" w:line="240" w:lineRule="auto"/>
        <w:rPr>
          <w:rFonts w:ascii="Times New Roman" w:eastAsia="Times" w:hAnsi="Times New Roman" w:cs="Times New Roman"/>
          <w:sz w:val="24"/>
          <w:szCs w:val="24"/>
        </w:rPr>
      </w:pPr>
    </w:p>
    <w:p w14:paraId="149F3C45" w14:textId="1BEDB21D" w:rsidR="00E222DA" w:rsidRPr="000D6DFC" w:rsidRDefault="00E222DA" w:rsidP="000D6DFC">
      <w:pPr>
        <w:spacing w:after="0" w:line="240" w:lineRule="auto"/>
        <w:jc w:val="center"/>
        <w:rPr>
          <w:rFonts w:ascii="Times New Roman" w:eastAsia="Times" w:hAnsi="Times New Roman" w:cs="Times New Roman"/>
          <w:b/>
          <w:sz w:val="24"/>
          <w:szCs w:val="24"/>
        </w:rPr>
      </w:pPr>
      <w:r w:rsidRPr="00EF2445">
        <w:rPr>
          <w:rFonts w:ascii="Times New Roman" w:eastAsia="Times" w:hAnsi="Times New Roman" w:cs="Times New Roman"/>
          <w:b/>
          <w:sz w:val="24"/>
          <w:szCs w:val="24"/>
        </w:rPr>
        <w:t>Commentary on Genesis 49:8-12</w:t>
      </w:r>
      <w:bookmarkStart w:id="0" w:name="_GoBack"/>
      <w:bookmarkEnd w:id="0"/>
    </w:p>
    <w:p w14:paraId="3BD7EF58" w14:textId="77777777" w:rsidR="00E222DA" w:rsidRPr="00EF2445" w:rsidRDefault="00E222DA" w:rsidP="00E222DA">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The first of two detailed blessings is Judah’s.  Unlike the preceding three sons, he heard nothing about his own sins, qualifications, or individual destiny.  He was told about the status of leadership his descendants would attain among the tribes, in the later nation of Israel, and in the messianic kingdom. </w:t>
      </w:r>
    </w:p>
    <w:p w14:paraId="6605E4DC" w14:textId="77777777" w:rsidR="00E222DA" w:rsidRPr="00EF2445" w:rsidRDefault="00E222DA" w:rsidP="00E222DA">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The lion is a symbol of </w:t>
      </w:r>
      <w:proofErr w:type="spellStart"/>
      <w:r w:rsidRPr="00EF2445">
        <w:rPr>
          <w:rFonts w:ascii="Times New Roman" w:eastAsia="Times" w:hAnsi="Times New Roman" w:cs="Times New Roman"/>
          <w:sz w:val="24"/>
          <w:szCs w:val="24"/>
        </w:rPr>
        <w:t>rulership</w:t>
      </w:r>
      <w:proofErr w:type="spellEnd"/>
      <w:r w:rsidRPr="00EF2445">
        <w:rPr>
          <w:rFonts w:ascii="Times New Roman" w:eastAsia="Times" w:hAnsi="Times New Roman" w:cs="Times New Roman"/>
          <w:sz w:val="24"/>
          <w:szCs w:val="24"/>
        </w:rPr>
        <w:t>, and allusions to the “</w:t>
      </w:r>
      <w:proofErr w:type="spellStart"/>
      <w:r w:rsidRPr="00EF2445">
        <w:rPr>
          <w:rFonts w:ascii="Times New Roman" w:eastAsia="Times" w:hAnsi="Times New Roman" w:cs="Times New Roman"/>
          <w:sz w:val="24"/>
          <w:szCs w:val="24"/>
        </w:rPr>
        <w:t>sceptre</w:t>
      </w:r>
      <w:proofErr w:type="spellEnd"/>
      <w:r w:rsidRPr="00EF2445">
        <w:rPr>
          <w:rFonts w:ascii="Times New Roman" w:eastAsia="Times" w:hAnsi="Times New Roman" w:cs="Times New Roman"/>
          <w:sz w:val="24"/>
          <w:szCs w:val="24"/>
        </w:rPr>
        <w:t>” and “lawgiver” envisioned the future Messiah.  The royal power, beginning with David, would remain with his descendants until a divine lawgiver, “Shiloh” (Gen. 49:10</w:t>
      </w:r>
      <w:r w:rsidRPr="00EF2445">
        <w:rPr>
          <w:rFonts w:ascii="Times New Roman" w:eastAsia="Times" w:hAnsi="Times New Roman" w:cs="Times New Roman"/>
          <w:i/>
          <w:sz w:val="24"/>
          <w:szCs w:val="24"/>
        </w:rPr>
        <w:t>c</w:t>
      </w:r>
      <w:r w:rsidRPr="00EF2445">
        <w:rPr>
          <w:rFonts w:ascii="Times New Roman" w:eastAsia="Times" w:hAnsi="Times New Roman" w:cs="Times New Roman"/>
          <w:sz w:val="24"/>
          <w:szCs w:val="24"/>
        </w:rPr>
        <w:t xml:space="preserve">), would be born (indicated by the idiom “from between the feet”).   The royal colt upon which he would ride and the “blood of the grapes” which would stain his clothing identify the same figure spoken of in Isaiah 63:2 and Doctrine and Covenants 133:48—the Redeemer of Israel, the Savior.  The last clauses of the blessing can be translated “His eyes shall be darker than wine and his teeth whiter than milk”; they imply his regal, distinctive countenance. </w:t>
      </w:r>
    </w:p>
    <w:p w14:paraId="0B29C502" w14:textId="77777777" w:rsidR="00E222DA" w:rsidRPr="00EF2445" w:rsidRDefault="00E222DA" w:rsidP="00E222DA">
      <w:pPr>
        <w:spacing w:after="0" w:line="240" w:lineRule="auto"/>
        <w:jc w:val="right"/>
        <w:rPr>
          <w:rFonts w:ascii="Times New Roman" w:eastAsia="Times" w:hAnsi="Times New Roman" w:cs="Times New Roman"/>
          <w:sz w:val="20"/>
          <w:szCs w:val="24"/>
        </w:rPr>
      </w:pPr>
      <w:r w:rsidRPr="00EF2445">
        <w:rPr>
          <w:rFonts w:ascii="Times New Roman" w:eastAsia="Times" w:hAnsi="Times New Roman" w:cs="Times New Roman"/>
          <w:sz w:val="20"/>
          <w:szCs w:val="24"/>
        </w:rPr>
        <w:t xml:space="preserve">Ellis T. Rasmussen, </w:t>
      </w:r>
      <w:proofErr w:type="gramStart"/>
      <w:r w:rsidRPr="00EF2445">
        <w:rPr>
          <w:rFonts w:ascii="Times New Roman" w:eastAsia="Times" w:hAnsi="Times New Roman" w:cs="Times New Roman"/>
          <w:i/>
          <w:sz w:val="20"/>
          <w:szCs w:val="24"/>
        </w:rPr>
        <w:t>A</w:t>
      </w:r>
      <w:proofErr w:type="gramEnd"/>
      <w:r w:rsidRPr="00EF2445">
        <w:rPr>
          <w:rFonts w:ascii="Times New Roman" w:eastAsia="Times" w:hAnsi="Times New Roman" w:cs="Times New Roman"/>
          <w:i/>
          <w:sz w:val="20"/>
          <w:szCs w:val="24"/>
        </w:rPr>
        <w:t xml:space="preserve"> Latter-day Saint Commentary on the Old Testament</w:t>
      </w:r>
      <w:r w:rsidRPr="00EF2445">
        <w:rPr>
          <w:rFonts w:ascii="Times New Roman" w:eastAsia="Times" w:hAnsi="Times New Roman" w:cs="Times New Roman"/>
          <w:sz w:val="20"/>
          <w:szCs w:val="24"/>
        </w:rPr>
        <w:t>, 80.</w:t>
      </w:r>
    </w:p>
    <w:p w14:paraId="5C77A595" w14:textId="77777777" w:rsidR="00F26DB9" w:rsidRDefault="00F26DB9"/>
    <w:sectPr w:rsidR="00F26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2DA"/>
    <w:rsid w:val="000D6DFC"/>
    <w:rsid w:val="00521503"/>
    <w:rsid w:val="00E222DA"/>
    <w:rsid w:val="00F2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FD947"/>
  <w15:chartTrackingRefBased/>
  <w15:docId w15:val="{51703021-13B7-4C60-8272-0BCE96DE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22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222DA"/>
    <w:rPr>
      <w:sz w:val="16"/>
      <w:szCs w:val="16"/>
    </w:rPr>
  </w:style>
  <w:style w:type="paragraph" w:styleId="CommentText">
    <w:name w:val="annotation text"/>
    <w:basedOn w:val="Normal"/>
    <w:link w:val="CommentTextChar"/>
    <w:uiPriority w:val="99"/>
    <w:semiHidden/>
    <w:unhideWhenUsed/>
    <w:rsid w:val="00E222DA"/>
    <w:pPr>
      <w:spacing w:line="240" w:lineRule="auto"/>
    </w:pPr>
    <w:rPr>
      <w:sz w:val="20"/>
      <w:szCs w:val="20"/>
    </w:rPr>
  </w:style>
  <w:style w:type="character" w:customStyle="1" w:styleId="CommentTextChar">
    <w:name w:val="Comment Text Char"/>
    <w:basedOn w:val="DefaultParagraphFont"/>
    <w:link w:val="CommentText"/>
    <w:uiPriority w:val="99"/>
    <w:semiHidden/>
    <w:rsid w:val="00E222DA"/>
    <w:rPr>
      <w:sz w:val="20"/>
      <w:szCs w:val="20"/>
    </w:rPr>
  </w:style>
  <w:style w:type="paragraph" w:styleId="BalloonText">
    <w:name w:val="Balloon Text"/>
    <w:basedOn w:val="Normal"/>
    <w:link w:val="BalloonTextChar"/>
    <w:uiPriority w:val="99"/>
    <w:semiHidden/>
    <w:unhideWhenUsed/>
    <w:rsid w:val="00E222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22D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3</cp:revision>
  <dcterms:created xsi:type="dcterms:W3CDTF">2021-07-16T02:36:00Z</dcterms:created>
  <dcterms:modified xsi:type="dcterms:W3CDTF">2021-07-17T04:01:00Z</dcterms:modified>
</cp:coreProperties>
</file>