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456" w:rsidRPr="007B65DC" w:rsidRDefault="00E259E3" w:rsidP="007B65DC">
      <w:pPr>
        <w:jc w:val="center"/>
        <w:rPr>
          <w:b/>
          <w:sz w:val="26"/>
          <w:szCs w:val="26"/>
        </w:rPr>
      </w:pPr>
      <w:r>
        <w:rPr>
          <w:b/>
          <w:sz w:val="26"/>
          <w:szCs w:val="26"/>
        </w:rPr>
        <w:t xml:space="preserve">Day 6 Covenant with Abraham: Readings: </w:t>
      </w:r>
      <w:r w:rsidR="00F12CEF" w:rsidRPr="007B65DC">
        <w:rPr>
          <w:b/>
          <w:sz w:val="26"/>
          <w:szCs w:val="26"/>
        </w:rPr>
        <w:t>Genesis 12-19; Abraham 1-2</w:t>
      </w:r>
    </w:p>
    <w:p w:rsidR="00F12CEF" w:rsidRPr="00653B85" w:rsidRDefault="00F12CEF" w:rsidP="007B65DC">
      <w:pPr>
        <w:jc w:val="center"/>
        <w:rPr>
          <w:rStyle w:val="Hyperlink"/>
          <w:color w:val="auto"/>
          <w:u w:val="none"/>
        </w:rPr>
      </w:pPr>
      <w:r>
        <w:t xml:space="preserve">Abraham’s Journey </w:t>
      </w:r>
      <w:hyperlink r:id="rId7" w:history="1">
        <w:r w:rsidRPr="00CC28FE">
          <w:rPr>
            <w:rStyle w:val="Hyperlink"/>
          </w:rPr>
          <w:t>https://www.youtube.com/watch?v=v4z_H_77bs4</w:t>
        </w:r>
      </w:hyperlink>
      <w:r w:rsidR="00653B85">
        <w:rPr>
          <w:rStyle w:val="Hyperlink"/>
          <w:color w:val="auto"/>
          <w:u w:val="none"/>
        </w:rPr>
        <w:t xml:space="preserve"> (2:32)</w:t>
      </w:r>
    </w:p>
    <w:p w:rsidR="00F66A02" w:rsidRPr="008433A6" w:rsidRDefault="00F66A02" w:rsidP="005B1E7E">
      <w:pPr>
        <w:pBdr>
          <w:bottom w:val="double" w:sz="6" w:space="1" w:color="auto"/>
        </w:pBdr>
        <w:rPr>
          <w:sz w:val="20"/>
          <w:szCs w:val="20"/>
        </w:rPr>
      </w:pPr>
    </w:p>
    <w:p w:rsidR="00F66A02" w:rsidRPr="008433A6" w:rsidRDefault="00F66A02" w:rsidP="00F66A02">
      <w:pPr>
        <w:rPr>
          <w:sz w:val="22"/>
          <w:szCs w:val="22"/>
        </w:rPr>
      </w:pPr>
    </w:p>
    <w:p w:rsidR="00F66A02" w:rsidRPr="000175EC" w:rsidRDefault="00F66A02" w:rsidP="00F66A02">
      <w:pPr>
        <w:ind w:left="720" w:hanging="720"/>
        <w:jc w:val="center"/>
      </w:pPr>
      <w:r w:rsidRPr="000175EC">
        <w:rPr>
          <w:b/>
        </w:rPr>
        <w:t>Historical Background of Israel</w:t>
      </w:r>
    </w:p>
    <w:p w:rsidR="00F66A02" w:rsidRPr="000175EC" w:rsidRDefault="00F66A02" w:rsidP="005B1E7E"/>
    <w:p w:rsidR="00F66A02" w:rsidRPr="000175EC" w:rsidRDefault="00F66A02" w:rsidP="00F66A02">
      <w:pPr>
        <w:ind w:left="2160" w:hanging="2160"/>
        <w:rPr>
          <w:rFonts w:eastAsia="Times New Roman"/>
        </w:rPr>
      </w:pPr>
      <w:r w:rsidRPr="000175EC">
        <w:rPr>
          <w:rFonts w:eastAsia="Times New Roman"/>
        </w:rPr>
        <w:t>Ca.  2000-1500 B.C.</w:t>
      </w:r>
      <w:r w:rsidRPr="000175EC">
        <w:rPr>
          <w:rFonts w:eastAsia="Times New Roman"/>
        </w:rPr>
        <w:tab/>
        <w:t>Patriarchal &amp; Matriarchal period; Joseph and eventually all the Israelites in Egypt</w:t>
      </w:r>
    </w:p>
    <w:p w:rsidR="00F66A02" w:rsidRPr="000175EC" w:rsidRDefault="00F66A02" w:rsidP="00F66A02">
      <w:r w:rsidRPr="000175EC">
        <w:t>Ca.  1500-1000 B.C.</w:t>
      </w:r>
      <w:r w:rsidRPr="000175EC">
        <w:tab/>
        <w:t>Egyptian bondage; Exodus; conquest of Canaan; period of the judges</w:t>
      </w:r>
    </w:p>
    <w:p w:rsidR="00F66A02" w:rsidRPr="000175EC" w:rsidRDefault="00F66A02" w:rsidP="00F66A02">
      <w:pPr>
        <w:tabs>
          <w:tab w:val="left" w:pos="2160"/>
        </w:tabs>
        <w:ind w:left="2880" w:hanging="2880"/>
      </w:pPr>
      <w:r w:rsidRPr="000175EC">
        <w:t>Ca.  1000-500 B.C.</w:t>
      </w:r>
      <w:r w:rsidRPr="000175EC">
        <w:tab/>
        <w:t>Israelite monarchy; division into and destruction of the kingdoms of Israel and Judah; major dispersion of Israelites; first stage of the Judahite return from Babylon and building of the second temple</w:t>
      </w:r>
    </w:p>
    <w:p w:rsidR="00F66A02" w:rsidRPr="000175EC" w:rsidRDefault="00F66A02" w:rsidP="00F66A02">
      <w:r w:rsidRPr="000175EC">
        <w:t>539-6/1 B.C.</w:t>
      </w:r>
      <w:r w:rsidRPr="000175EC">
        <w:tab/>
      </w:r>
      <w:r w:rsidRPr="000175EC">
        <w:tab/>
        <w:t>Persian, Hellenistic and Roman periods in the ancient Near East</w:t>
      </w:r>
    </w:p>
    <w:p w:rsidR="00F66A02" w:rsidRPr="000175EC" w:rsidRDefault="00F66A02" w:rsidP="00F66A02">
      <w:r w:rsidRPr="000175EC">
        <w:t>6/1 B.C.-A.D. 200</w:t>
      </w:r>
      <w:r w:rsidRPr="000175EC">
        <w:tab/>
        <w:t>Advent of Christianity and rabbinic Judaism in the Roman Period</w:t>
      </w:r>
    </w:p>
    <w:p w:rsidR="00F66A02" w:rsidRPr="000175EC" w:rsidRDefault="00F66A02" w:rsidP="00F66A02"/>
    <w:p w:rsidR="00F66A02" w:rsidRPr="000175EC" w:rsidRDefault="00F66A02" w:rsidP="00F66A02">
      <w:pPr>
        <w:ind w:firstLine="360"/>
      </w:pPr>
      <w:r w:rsidRPr="000175EC">
        <w:t xml:space="preserve">Although the events narrated in the Bible are presented in a historical framework, there are challenges to studying the history of Israel.  These include (1) the authors and editors of the biblical books were not interested in history </w:t>
      </w:r>
      <w:r w:rsidRPr="000175EC">
        <w:rPr>
          <w:i/>
        </w:rPr>
        <w:t>per se</w:t>
      </w:r>
      <w:r w:rsidRPr="000175EC">
        <w:t xml:space="preserve"> but in relating the unfolding of the Lord’s work in the course of history (similar to Mormon’s efforts), so their emphasis on events with a positive or negative religious component often results in the omission of other information that would be valuable in reconstructing the history of Israel with greater precision; (2) no person in the Hebrew Bible is mentioned in known, contemporary nonbiblical texts until the mid-800s B.C., more than a century after king David’s death, meaning that readers are entirely dependent on the Bible and the “mute evidence” of archaeology for their evidence of all people and events prior to that time; and (3) there are certain discrepancies among the chronological data contained in the Hebrew Bible, between data in the Hebrew Bible and various ancient translations of the Bible, and between biblical data and nonbiblical documentary sources from the ancient Near East.  None of these challenges, however, thwarts one’s ability to understand the general picture and much of the detail of Israelite history.  Furthermore, archaeological discoveries, both inscriptions and artifacts, generally validate Israelite history as depicted in the Bible.  </w:t>
      </w:r>
    </w:p>
    <w:p w:rsidR="00F66A02" w:rsidRPr="000175EC" w:rsidRDefault="00F66A02" w:rsidP="00F66A02">
      <w:pPr>
        <w:ind w:firstLine="360"/>
      </w:pPr>
      <w:r w:rsidRPr="000175EC">
        <w:rPr>
          <w:b/>
        </w:rPr>
        <w:t>Ca. 2000—1500 B.C.</w:t>
      </w:r>
      <w:r w:rsidRPr="000175EC">
        <w:rPr>
          <w:i/>
        </w:rPr>
        <w:t xml:space="preserve"> </w:t>
      </w:r>
      <w:r w:rsidRPr="000175EC">
        <w:t xml:space="preserve"> The time of the Patriarchs—Abraham, Isaac, Jacob, and their families—covers most of the first half of the second millennium B.C.  Abraham and Sarah were descendants of Noah</w:t>
      </w:r>
      <w:r w:rsidRPr="000175EC">
        <w:rPr>
          <w:vertAlign w:val="superscript"/>
        </w:rPr>
        <w:t>1</w:t>
      </w:r>
      <w:r w:rsidRPr="000175EC">
        <w:t xml:space="preserve">’s son Shem and natives of Mesopotamia (modern Iraq and northern SYRIA).  JEHOVAH initiated a covenant relationship with Abraham while he lived in Ur, prior to his marriage to Sarah (Abr. 1:17-19; 2:1; Abraham’s Ur was probably located in northern Mesopotamia, distinct from the Ur in southern Mesopotamia; Bible Map 9).  At Jehovah’s command their journey of faith began as they departed Ur for Haran, in northern Syria, sometime after 2000 B.C. (Gen. 11:27-32; Abr. 2:1-5).  During their stay in Haran, Jehovah renewed and expanded his covenant with Abraham and Sarah and directed them to relocate southward to the land of Canaan (Gen. 12:1-6; Abr. 2:6-16; e.g., 1 Ne. 15:18; 22:9).  Their movement along the Fertile Crescent was part of a larger migration of Semites known as Amorites during this time period.  Politically, Canaan consisted of a number of small city states rather than a unified nation.  Here Abraham and Sarah interacted with many of the peoples of the land but lived mainly on the outskirts of the cities.  They built altars and worshipped at various locales, including Bethel and Mamre (near Hebron), in effect laying religious claim to the land for future generations of descendants to whom the Lord had promised it as part of the ABRAHAMIC </w:t>
      </w:r>
      <w:r w:rsidRPr="000175EC">
        <w:lastRenderedPageBreak/>
        <w:t xml:space="preserve">COVENANT (Gen. 12-23).  All the while, Jehovah continued to interact with Abraham and his family (Gen. 15; 17; 22).  </w:t>
      </w:r>
    </w:p>
    <w:p w:rsidR="00F66A02" w:rsidRPr="000175EC" w:rsidRDefault="00F66A02" w:rsidP="00F66A02">
      <w:pPr>
        <w:jc w:val="right"/>
        <w:rPr>
          <w:sz w:val="20"/>
        </w:rPr>
      </w:pPr>
      <w:r w:rsidRPr="000175EC">
        <w:rPr>
          <w:sz w:val="20"/>
        </w:rPr>
        <w:t xml:space="preserve">Dana M. Pike, “Israel, Historical Background of,” </w:t>
      </w:r>
      <w:r w:rsidRPr="000175EC">
        <w:rPr>
          <w:i/>
          <w:sz w:val="20"/>
        </w:rPr>
        <w:t>Book of Mormon Reference Companion</w:t>
      </w:r>
      <w:r w:rsidRPr="000175EC">
        <w:rPr>
          <w:sz w:val="20"/>
        </w:rPr>
        <w:t xml:space="preserve"> (2003</w:t>
      </w:r>
      <w:r>
        <w:rPr>
          <w:sz w:val="20"/>
        </w:rPr>
        <w:t xml:space="preserve">) </w:t>
      </w:r>
      <w:r w:rsidRPr="000175EC">
        <w:rPr>
          <w:sz w:val="20"/>
        </w:rPr>
        <w:t>406-408.</w:t>
      </w:r>
    </w:p>
    <w:p w:rsidR="00F66A02" w:rsidRPr="000175EC" w:rsidRDefault="00F66A02" w:rsidP="00F66A02">
      <w:pPr>
        <w:pBdr>
          <w:bottom w:val="double" w:sz="6" w:space="1" w:color="auto"/>
        </w:pBdr>
      </w:pPr>
    </w:p>
    <w:p w:rsidR="00F66A02" w:rsidRPr="000175EC" w:rsidRDefault="00F66A02" w:rsidP="00F66A02">
      <w:pPr>
        <w:jc w:val="center"/>
        <w:rPr>
          <w:b/>
        </w:rPr>
      </w:pPr>
    </w:p>
    <w:p w:rsidR="00F66A02" w:rsidRPr="005B1E7E" w:rsidRDefault="00F66A02" w:rsidP="005B1E7E">
      <w:pPr>
        <w:jc w:val="center"/>
        <w:rPr>
          <w:b/>
        </w:rPr>
      </w:pPr>
      <w:r w:rsidRPr="000175EC">
        <w:rPr>
          <w:b/>
        </w:rPr>
        <w:t>Age of the Patriarchs and Matriarchs</w:t>
      </w:r>
    </w:p>
    <w:p w:rsidR="00F66A02" w:rsidRPr="000175EC" w:rsidRDefault="00F66A02" w:rsidP="00F66A02">
      <w:pPr>
        <w:ind w:firstLine="360"/>
      </w:pPr>
      <w:r w:rsidRPr="000175EC">
        <w:t>“When did the ancestors live? The absence of specific chronological data denies us a firm answer, but they probably lived in the first half the second millennium (2000-1500</w:t>
      </w:r>
      <w:r>
        <w:t xml:space="preserve"> </w:t>
      </w:r>
      <w:r w:rsidRPr="000175EC">
        <w:t xml:space="preserve">BCE). In Mesopotamia, their ancestral homeland that was time of political flux and instability. Major cities in Sumer warred with each other for regional supremacy, and the two major waves of invasion swept the region. About 2000 BCE, the Amorites, the ethnic group of the later famous ruler Hammurabi, came from the west to conquer and rule the area. About 1600 BCE, Hurrians entered Mesopotamia from the north and conquered northern Mesopotamia. From the human standpoint, one wonders whether such regional instability contributed to Abram’s departure from Ur (Gen 11:31). Meanwhile, in Egypt under the Middle Kingdom dynasty centered at Memphis, political stability prevailed, and prosperity blossomed. The peace and prosperity enabled art and literature to flourish there and may also explain why, when feminine hit Canaan, the patriarch went to Egypt rather than Transjordan or Mesopotamia. As for Canaan and the region of Syria-Palestine, no written records have surfaced yet to tell us what was going on there. The culture was predominantly Canaanite, with population centered primarily along the Mediterranean coast and in the Jordan Valley. Important city-states at the time were Hazor north of the Sea of Galilee, Jericho near the Jordan River, and Gezer in the western lowlands. By contrast, Canaan’s central mountains were sparsely inhabited, a fact that may explain why the Israelites primarily settled there” </w:t>
      </w:r>
    </w:p>
    <w:p w:rsidR="00F66A02" w:rsidRPr="000175EC" w:rsidRDefault="00F66A02" w:rsidP="00F66A02">
      <w:pPr>
        <w:jc w:val="right"/>
        <w:rPr>
          <w:sz w:val="20"/>
          <w:szCs w:val="20"/>
        </w:rPr>
      </w:pPr>
      <w:r w:rsidRPr="000175EC">
        <w:rPr>
          <w:sz w:val="20"/>
          <w:szCs w:val="20"/>
        </w:rPr>
        <w:t xml:space="preserve">Robert L. Hubbard &amp; J. Andrew Dearman, </w:t>
      </w:r>
      <w:r w:rsidRPr="000175EC">
        <w:rPr>
          <w:i/>
          <w:sz w:val="20"/>
          <w:szCs w:val="20"/>
        </w:rPr>
        <w:t>Introducing the Old Testament</w:t>
      </w:r>
      <w:r w:rsidRPr="000175EC">
        <w:rPr>
          <w:sz w:val="20"/>
          <w:szCs w:val="20"/>
        </w:rPr>
        <w:t xml:space="preserve">, 51-52 </w:t>
      </w:r>
    </w:p>
    <w:p w:rsidR="00F66A02" w:rsidRPr="000175EC" w:rsidRDefault="00F66A02" w:rsidP="00F66A02">
      <w:pPr>
        <w:pBdr>
          <w:bottom w:val="double" w:sz="6" w:space="1" w:color="auto"/>
        </w:pBdr>
      </w:pPr>
    </w:p>
    <w:p w:rsidR="00F66A02" w:rsidRDefault="00F66A02" w:rsidP="00F66A02">
      <w:pPr>
        <w:rPr>
          <w:b/>
        </w:rPr>
      </w:pPr>
    </w:p>
    <w:p w:rsidR="00C04DAE" w:rsidRPr="005B1E7E" w:rsidRDefault="00C04DAE" w:rsidP="005B1E7E">
      <w:pPr>
        <w:pBdr>
          <w:bottom w:val="double" w:sz="6" w:space="1" w:color="auto"/>
        </w:pBdr>
        <w:jc w:val="center"/>
        <w:rPr>
          <w:b/>
        </w:rPr>
      </w:pPr>
      <w:r w:rsidRPr="00C04DAE">
        <w:rPr>
          <w:b/>
        </w:rPr>
        <w:t>The Setting</w:t>
      </w:r>
      <w:r w:rsidR="005B1E7E">
        <w:rPr>
          <w:b/>
        </w:rPr>
        <w:t xml:space="preserve"> of the Matriarchs &amp; Patriarchs</w:t>
      </w:r>
    </w:p>
    <w:p w:rsidR="00C04DAE" w:rsidRDefault="00C04DAE" w:rsidP="00C04DAE">
      <w:pPr>
        <w:pBdr>
          <w:bottom w:val="double" w:sz="6" w:space="1" w:color="auto"/>
        </w:pBdr>
      </w:pPr>
      <w:r w:rsidRPr="00C04DAE">
        <w:t xml:space="preserve">“The world of the patriarch and matriarchs spans the whole of the ancient Near East. For example, Abraham was born in Mesopotamia, moved to Canaan, and sojourned for a time in Egypt. Jacob was born in Canaan, moved to Mesopotamia, and spent the last years of his life in Egypt. Joseph was born in Mesopotamia and lived the first part of his life in Canaan and the rest of his life in Egypt. Sarah and Rebekah were from Mesopotamia while Asenath was from Egypt” </w:t>
      </w:r>
    </w:p>
    <w:p w:rsidR="00C04DAE" w:rsidRDefault="00C04DAE" w:rsidP="00C04DAE">
      <w:pPr>
        <w:pBdr>
          <w:bottom w:val="double" w:sz="6" w:space="1" w:color="auto"/>
        </w:pBdr>
      </w:pPr>
    </w:p>
    <w:p w:rsidR="00C04DAE" w:rsidRDefault="00C04DAE" w:rsidP="00C04DAE">
      <w:pPr>
        <w:pBdr>
          <w:bottom w:val="double" w:sz="6" w:space="1" w:color="auto"/>
        </w:pBdr>
      </w:pPr>
      <w:r w:rsidRPr="00C04DAE">
        <w:t>“The journey to Canaan was a long one. If Ur is located in southern Mesopotamia, Abram had already journeyed with his family nearly 600 miles to Haran. If Ur is located in the north then it was about 30 miles to Haran. From Haran it is almost 500 more miles to Shechem, where Abram built an altar and where Jehovah appeared to him” (JWOT 52).</w:t>
      </w:r>
    </w:p>
    <w:p w:rsidR="00C04DAE" w:rsidRDefault="00C04DAE" w:rsidP="00C04DAE">
      <w:pPr>
        <w:pBdr>
          <w:bottom w:val="double" w:sz="6" w:space="1" w:color="auto"/>
        </w:pBdr>
        <w:jc w:val="right"/>
        <w:rPr>
          <w:sz w:val="20"/>
        </w:rPr>
      </w:pPr>
      <w:r w:rsidRPr="008433A6">
        <w:rPr>
          <w:sz w:val="20"/>
        </w:rPr>
        <w:t xml:space="preserve">Holzapfel, Pike, and Seely, </w:t>
      </w:r>
      <w:r w:rsidRPr="008433A6">
        <w:rPr>
          <w:i/>
          <w:sz w:val="20"/>
        </w:rPr>
        <w:t>Jehovah and the World of the Old Testament</w:t>
      </w:r>
      <w:r w:rsidRPr="008433A6">
        <w:rPr>
          <w:sz w:val="20"/>
        </w:rPr>
        <w:t xml:space="preserve"> (2009), </w:t>
      </w:r>
      <w:r>
        <w:rPr>
          <w:sz w:val="20"/>
        </w:rPr>
        <w:t>50. 52</w:t>
      </w:r>
    </w:p>
    <w:p w:rsidR="00C04DAE" w:rsidRPr="000175EC" w:rsidRDefault="00C04DAE" w:rsidP="00C04DAE">
      <w:pPr>
        <w:pBdr>
          <w:bottom w:val="double" w:sz="6" w:space="1" w:color="auto"/>
        </w:pBdr>
        <w:jc w:val="right"/>
      </w:pPr>
    </w:p>
    <w:p w:rsidR="005B1E7E" w:rsidRDefault="005B1E7E" w:rsidP="005B1E7E">
      <w:pPr>
        <w:ind w:left="720" w:hanging="720"/>
        <w:jc w:val="center"/>
        <w:rPr>
          <w:b/>
        </w:rPr>
      </w:pPr>
    </w:p>
    <w:p w:rsidR="005B1E7E" w:rsidRPr="005B1E7E" w:rsidRDefault="005B1E7E" w:rsidP="005B1E7E">
      <w:pPr>
        <w:ind w:left="720" w:hanging="720"/>
        <w:jc w:val="center"/>
        <w:rPr>
          <w:b/>
        </w:rPr>
      </w:pPr>
      <w:r w:rsidRPr="008433A6">
        <w:rPr>
          <w:b/>
        </w:rPr>
        <w:t>Angel / Messenger</w:t>
      </w:r>
    </w:p>
    <w:p w:rsidR="005B1E7E" w:rsidRPr="008433A6" w:rsidRDefault="005B1E7E" w:rsidP="005B1E7E">
      <w:pPr>
        <w:ind w:firstLine="360"/>
      </w:pPr>
      <w:r w:rsidRPr="008433A6">
        <w:t xml:space="preserve">The Hebrew word most often used to designate a messenger is </w:t>
      </w:r>
      <w:r w:rsidRPr="008433A6">
        <w:rPr>
          <w:i/>
        </w:rPr>
        <w:t>mal’ak</w:t>
      </w:r>
      <w:r w:rsidRPr="008433A6">
        <w:t xml:space="preserve">.  The translation of this Hebrew word depends to some degree on the context, and can convey such meanings as “envoy,” “messenger,” “agent” and “ambassador.”  In the OT, the </w:t>
      </w:r>
      <w:r>
        <w:t xml:space="preserve">same </w:t>
      </w:r>
      <w:r w:rsidRPr="008433A6">
        <w:t>Hebrew word</w:t>
      </w:r>
      <w:r>
        <w:t>,</w:t>
      </w:r>
      <w:r w:rsidRPr="008433A6">
        <w:t xml:space="preserve"> </w:t>
      </w:r>
      <w:r w:rsidRPr="008433A6">
        <w:rPr>
          <w:i/>
        </w:rPr>
        <w:t>mal’ak</w:t>
      </w:r>
      <w:r w:rsidRPr="008433A6">
        <w:t xml:space="preserve">—used to designate human messengers—is also translated “angel” when used in reference to </w:t>
      </w:r>
      <w:r w:rsidRPr="008433A6">
        <w:lastRenderedPageBreak/>
        <w:t xml:space="preserve">heavenly messengers.  Heavenly angels are “messengers” commissioned by the Lord to deliver a message from the divine realm to the human one.  The English word “angel” comes to us from the Greek </w:t>
      </w:r>
      <w:r w:rsidRPr="008433A6">
        <w:rPr>
          <w:i/>
        </w:rPr>
        <w:t>aggelos</w:t>
      </w:r>
      <w:r w:rsidRPr="008433A6">
        <w:t xml:space="preserve"> (pronounced </w:t>
      </w:r>
      <w:r w:rsidRPr="008433A6">
        <w:rPr>
          <w:i/>
        </w:rPr>
        <w:t>angelos</w:t>
      </w:r>
      <w:r w:rsidRPr="008433A6">
        <w:t xml:space="preserve">,  &gt; Latin </w:t>
      </w:r>
      <w:r w:rsidRPr="008433A6">
        <w:rPr>
          <w:i/>
        </w:rPr>
        <w:t>angelus</w:t>
      </w:r>
      <w:r w:rsidRPr="008433A6">
        <w:t xml:space="preserve">), which has the same meanings as Hebrew </w:t>
      </w:r>
      <w:r w:rsidRPr="008433A6">
        <w:rPr>
          <w:i/>
        </w:rPr>
        <w:t>mal’ak</w:t>
      </w:r>
      <w:r w:rsidRPr="008433A6">
        <w:t>.</w:t>
      </w:r>
    </w:p>
    <w:p w:rsidR="005B1E7E" w:rsidRPr="008433A6" w:rsidRDefault="005B1E7E" w:rsidP="005B1E7E">
      <w:pPr>
        <w:ind w:left="720" w:hanging="720"/>
      </w:pPr>
    </w:p>
    <w:p w:rsidR="005B1E7E" w:rsidRPr="008433A6" w:rsidRDefault="005B1E7E" w:rsidP="005B1E7E">
      <w:pPr>
        <w:ind w:firstLine="360"/>
      </w:pPr>
      <w:r w:rsidRPr="008433A6">
        <w:t xml:space="preserve">There are passages in Genesis where it is not always easy to tell whether the scripture text is referring to human or divine “messengers.”  Consider the occurrence of the Hebrew word </w:t>
      </w:r>
      <w:r w:rsidRPr="008433A6">
        <w:rPr>
          <w:i/>
        </w:rPr>
        <w:t>mal’ak</w:t>
      </w:r>
      <w:r w:rsidRPr="008433A6">
        <w:t xml:space="preserve"> in the following passage in Genesis:  “And Jacob went on his way and the angels [</w:t>
      </w:r>
      <w:r w:rsidRPr="008433A6">
        <w:rPr>
          <w:i/>
        </w:rPr>
        <w:t>mal’ak</w:t>
      </w:r>
      <w:r w:rsidRPr="008433A6">
        <w:t>] of God met him. …  And Jacob sent messengers [</w:t>
      </w:r>
      <w:r w:rsidRPr="008433A6">
        <w:rPr>
          <w:i/>
        </w:rPr>
        <w:t>mal’ak</w:t>
      </w:r>
      <w:r w:rsidRPr="008433A6">
        <w:t xml:space="preserve">] before him to Esau his brother…”  (Genesis 32:1-3).  The first occurrence of </w:t>
      </w:r>
      <w:r w:rsidRPr="008433A6">
        <w:rPr>
          <w:i/>
        </w:rPr>
        <w:t>mal’ak</w:t>
      </w:r>
      <w:r w:rsidRPr="008433A6">
        <w:t xml:space="preserve"> is generally taken to designate divine messengers (thus the translation “angels”), although it conceivably could designate divinely appointed human messengers.  The second occurrence of </w:t>
      </w:r>
      <w:r w:rsidRPr="008433A6">
        <w:rPr>
          <w:i/>
        </w:rPr>
        <w:t>mal’ak</w:t>
      </w:r>
      <w:r w:rsidRPr="008433A6">
        <w:t xml:space="preserve"> definitely designates human messengers sent by Isaac to this brother.  </w:t>
      </w:r>
    </w:p>
    <w:p w:rsidR="005B1E7E" w:rsidRDefault="005B1E7E" w:rsidP="005B1E7E">
      <w:pPr>
        <w:pBdr>
          <w:bottom w:val="double" w:sz="6" w:space="1" w:color="auto"/>
        </w:pBdr>
        <w:ind w:left="720" w:hanging="720"/>
        <w:jc w:val="right"/>
        <w:rPr>
          <w:sz w:val="20"/>
        </w:rPr>
      </w:pPr>
      <w:r w:rsidRPr="008433A6">
        <w:rPr>
          <w:sz w:val="20"/>
        </w:rPr>
        <w:t xml:space="preserve"> [DMP]</w:t>
      </w:r>
    </w:p>
    <w:p w:rsidR="005B1E7E" w:rsidRPr="00F6299A" w:rsidRDefault="005B1E7E" w:rsidP="005B1E7E">
      <w:pPr>
        <w:pBdr>
          <w:bottom w:val="double" w:sz="6" w:space="1" w:color="auto"/>
        </w:pBdr>
        <w:ind w:left="720" w:hanging="720"/>
        <w:jc w:val="right"/>
        <w:rPr>
          <w:sz w:val="20"/>
        </w:rPr>
      </w:pPr>
    </w:p>
    <w:p w:rsidR="00C04DAE" w:rsidRDefault="00C04DAE" w:rsidP="00F66A02">
      <w:pPr>
        <w:rPr>
          <w:b/>
        </w:rPr>
      </w:pPr>
    </w:p>
    <w:p w:rsidR="00F66A02" w:rsidRPr="005B1E7E" w:rsidRDefault="00F66A02" w:rsidP="005B1E7E">
      <w:pPr>
        <w:jc w:val="center"/>
        <w:rPr>
          <w:b/>
        </w:rPr>
      </w:pPr>
      <w:r w:rsidRPr="008433A6">
        <w:rPr>
          <w:b/>
        </w:rPr>
        <w:t>The Three “Men” who are Visitors in Genesis 18-19</w:t>
      </w:r>
    </w:p>
    <w:p w:rsidR="00F66A02" w:rsidRPr="008433A6" w:rsidRDefault="00F66A02" w:rsidP="00F66A02">
      <w:pPr>
        <w:ind w:firstLine="360"/>
      </w:pPr>
      <w:r w:rsidRPr="008433A6">
        <w:t>Genesis records the coming to Abraham and Sarah of three men who had been sent to give them an important message.  The text is not altogether clear about the identity of the three, because they are called both “men” and “angels</w:t>
      </w:r>
      <w:r>
        <w:t xml:space="preserve"> [or, messengers]</w:t>
      </w:r>
      <w:r w:rsidRPr="008433A6">
        <w:t xml:space="preserve">” (Gen. 18:2; 19:1).  Moreover, the text in a few places presents God speaking as though he were one of the three (see Gen. 18:10, 13; cf. 18:1; 21:1).  The Joseph Smith Translation changes “the men” to “the angels which were holy men” (at Gen. 18:22) and to “the angels of God, which were holy men” (at Gen. 19:10).  Elsewhere it calls the visitors “angels” (at Gen. 21:1; see also v. 2), and Joseph Smith referred to them as “angels.”  But perhaps the obviously deliberate reference to their eating (see Gen. 18:5-8) is intended to inform us that they were mortals and not angelic beings and that “angels” is meant to be understood in its original sense (both in English and Hebrew) as “messengers.”  The message of the three visitors was that Sarah and Abraham would at last have a child.  Despite the age of the future parents, nothing is “too hard for the Lord.”  </w:t>
      </w:r>
    </w:p>
    <w:p w:rsidR="00F66A02" w:rsidRPr="00A35069" w:rsidRDefault="00F66A02" w:rsidP="00F66A02">
      <w:pPr>
        <w:jc w:val="right"/>
        <w:rPr>
          <w:sz w:val="20"/>
        </w:rPr>
      </w:pPr>
      <w:r w:rsidRPr="008433A6">
        <w:rPr>
          <w:sz w:val="20"/>
        </w:rPr>
        <w:t xml:space="preserve">Kent P. Jackson, </w:t>
      </w:r>
      <w:r w:rsidRPr="008433A6">
        <w:rPr>
          <w:i/>
          <w:sz w:val="20"/>
        </w:rPr>
        <w:t>The Restored Gospel and the Book of Genesis</w:t>
      </w:r>
      <w:r w:rsidRPr="008433A6">
        <w:rPr>
          <w:sz w:val="20"/>
        </w:rPr>
        <w:t xml:space="preserve"> (Deseret, 2001), 144.</w:t>
      </w:r>
    </w:p>
    <w:p w:rsidR="00F66A02" w:rsidRPr="008433A6" w:rsidRDefault="00F66A02" w:rsidP="00F66A02">
      <w:pPr>
        <w:pBdr>
          <w:bottom w:val="double" w:sz="6" w:space="1" w:color="auto"/>
        </w:pBdr>
        <w:ind w:left="720" w:hanging="720"/>
      </w:pPr>
    </w:p>
    <w:p w:rsidR="00F66A02" w:rsidRPr="008433A6" w:rsidRDefault="00F66A02" w:rsidP="00F66A02">
      <w:pPr>
        <w:ind w:left="720" w:hanging="720"/>
      </w:pPr>
    </w:p>
    <w:p w:rsidR="00F66A02" w:rsidRPr="005B1E7E" w:rsidRDefault="00F66A02" w:rsidP="005B1E7E">
      <w:pPr>
        <w:ind w:left="720" w:hanging="720"/>
        <w:jc w:val="center"/>
        <w:rPr>
          <w:b/>
        </w:rPr>
      </w:pPr>
      <w:r w:rsidRPr="008433A6">
        <w:rPr>
          <w:b/>
        </w:rPr>
        <w:t>Genesis 19:26.  Lot’s Wife and the Pillar of Salt</w:t>
      </w:r>
    </w:p>
    <w:p w:rsidR="00F66A02" w:rsidRPr="008433A6" w:rsidRDefault="00F66A02" w:rsidP="00F66A02">
      <w:pPr>
        <w:ind w:firstLine="360"/>
      </w:pPr>
      <w:r w:rsidRPr="008433A6">
        <w:t>The account of Lot’s wife being turned into a pillar of salt has puzzled many commentators.  Was this event a literal thing, or was it figurative?  There are two indications in the scriptures that the phrase “looked back” was an idiomatic way of</w:t>
      </w:r>
      <w:bookmarkStart w:id="0" w:name="_GoBack"/>
      <w:bookmarkEnd w:id="0"/>
      <w:r w:rsidRPr="008433A6">
        <w:t xml:space="preserve"> saying “she turned back” or “returned to Sodom.”  When warning the disciples of the destruction which was going to come upon Jerusalem, the Savior warned them to flee without delay, not even going into the house to get their possessions.  Jesus said, “And he that is in the field, let him likewise not return back.  </w:t>
      </w:r>
      <w:r w:rsidRPr="008433A6">
        <w:rPr>
          <w:i/>
        </w:rPr>
        <w:t>Remember Lot’s wife</w:t>
      </w:r>
      <w:r w:rsidRPr="008433A6">
        <w:t>” (Luke 17:31–32; emphasis added).  He then admonished them that he who seeks to save his life will lose it, and he who loses his life will find it.  Elder Bruce R. McConkie paraphrased those verses in these words.  “Look not back to Sodom and the wealth and luxury you are leaving.  Stay not in the burning house, in the hope of salvaging your treasures, lest the flame destroy you; but flee, flee to the mountains.  Seek temporal things and lose eternal life; sacrifice the things of this life and gain eternal life.”  (</w:t>
      </w:r>
      <w:r w:rsidRPr="008433A6">
        <w:rPr>
          <w:i/>
        </w:rPr>
        <w:t>Doctrinal New Testament Commentary</w:t>
      </w:r>
      <w:r w:rsidRPr="008433A6">
        <w:t>, 1:645.)</w:t>
      </w:r>
    </w:p>
    <w:p w:rsidR="00F66A02" w:rsidRPr="008433A6" w:rsidRDefault="00F66A02" w:rsidP="00F66A02">
      <w:pPr>
        <w:ind w:firstLine="360"/>
      </w:pPr>
      <w:r w:rsidRPr="008433A6">
        <w:lastRenderedPageBreak/>
        <w:t xml:space="preserve">The implication is that Lot’s wife started back to Sodom, perhaps to save some possessions, and was caught in the destruction.  In the Doctrine and Covenants is a scripture that uses the same terminology as Genesis 19:26.  After warning the Saints to flee spiritual Babylon, which is wickedness, the Lord says, “He that goeth, let him not look back lest sudden destruction shall come upon him” (D&amp;C 133:15).  Again, the implication is that of a return to wickedness. </w:t>
      </w:r>
    </w:p>
    <w:p w:rsidR="00F66A02" w:rsidRPr="008433A6" w:rsidRDefault="00F66A02" w:rsidP="00F66A02">
      <w:pPr>
        <w:ind w:firstLine="360"/>
      </w:pPr>
      <w:r w:rsidRPr="008433A6">
        <w:t xml:space="preserve">Most scholars agree that the most probable site of Sodom is now covered by the southern part of the Dead Sea, a body of water with a high salt content.  If Lot’s wife returned to Sodom, she would have been caught in the destruction.  Her becoming a pillar of salt could be a figurative way of expressing this outcome.  But whatever it was that happened to Lot’s wife, it is clear that she perished. </w:t>
      </w:r>
    </w:p>
    <w:p w:rsidR="00F66A02" w:rsidRPr="008433A6" w:rsidRDefault="00F66A02" w:rsidP="00F66A02">
      <w:pPr>
        <w:ind w:left="720" w:hanging="720"/>
        <w:jc w:val="right"/>
        <w:rPr>
          <w:sz w:val="20"/>
        </w:rPr>
      </w:pPr>
      <w:r w:rsidRPr="008433A6">
        <w:rPr>
          <w:i/>
          <w:sz w:val="20"/>
        </w:rPr>
        <w:t>LDS Old Testament Student Manual:  Genesis–2 Samuel</w:t>
      </w:r>
      <w:r w:rsidRPr="008433A6">
        <w:rPr>
          <w:sz w:val="20"/>
        </w:rPr>
        <w:t>, 76-77.</w:t>
      </w:r>
    </w:p>
    <w:p w:rsidR="00F66A02" w:rsidRPr="008433A6" w:rsidRDefault="00F66A02" w:rsidP="00F66A02"/>
    <w:p w:rsidR="00F66A02" w:rsidRPr="008433A6" w:rsidRDefault="00F66A02" w:rsidP="00F66A02">
      <w:pPr>
        <w:ind w:firstLine="360"/>
      </w:pPr>
      <w:r w:rsidRPr="008433A6">
        <w:t xml:space="preserve">One of the purposes of history is to teach us the lessons of life.  George Santayana, who should be more widely read than he is, is best known for saying that those who disregard the lessons of history are destined (sadly) to repeat them.  So, if history is this important </w:t>
      </w:r>
      <w:r w:rsidRPr="008433A6">
        <w:rPr>
          <w:rFonts w:ascii="MSS" w:hAnsi="MSS" w:cs="MSS"/>
        </w:rPr>
        <w:t xml:space="preserve">— </w:t>
      </w:r>
      <w:r w:rsidRPr="008433A6">
        <w:t xml:space="preserve">and it surely is </w:t>
      </w:r>
      <w:r w:rsidRPr="008433A6">
        <w:rPr>
          <w:rFonts w:ascii="MSS" w:hAnsi="MSS" w:cs="MSS"/>
        </w:rPr>
        <w:t>—</w:t>
      </w:r>
      <w:r w:rsidRPr="008433A6">
        <w:t xml:space="preserve"> what did Lot’s wife do that was so wrong?  As something of a student of history, I have thought about that and offer this as a partial answer. </w:t>
      </w:r>
    </w:p>
    <w:p w:rsidR="00F66A02" w:rsidRPr="008433A6" w:rsidRDefault="00F66A02" w:rsidP="00F66A02">
      <w:pPr>
        <w:ind w:firstLine="360"/>
      </w:pPr>
      <w:r w:rsidRPr="008433A6">
        <w:t xml:space="preserve">Apparently what was wrong with Lot’s wife is that she wasn’t just looking back, but that in her heart she wanted to go back.  It would appear that even before they were past the city limits, she was already missing what Sodom and Gomorrah had offered her.  As Elder Maxwell once said, such people know they should have their primary residence in Zion but they still hope to keep a summer cottage in Babylon.  It is possible that Lot’s wife looked back with resentment toward the Lord for what He was asking her to leave behind.  We know that Laman and Lemuel did when Lehi and his family were commanded to leave Jerusalem.  So it isn’t just that she looked back; </w:t>
      </w:r>
      <w:r w:rsidRPr="008433A6">
        <w:rPr>
          <w:i/>
        </w:rPr>
        <w:t>she looked back longingly</w:t>
      </w:r>
      <w:r w:rsidRPr="008433A6">
        <w:t xml:space="preserve">.  In short, her attachment to the past outweighed her confidence in the future.  That, apparently, was at least part of her sin. </w:t>
      </w:r>
    </w:p>
    <w:p w:rsidR="00F66A02" w:rsidRPr="00A35069" w:rsidRDefault="00F66A02" w:rsidP="00F66A02">
      <w:pPr>
        <w:jc w:val="right"/>
        <w:rPr>
          <w:sz w:val="20"/>
        </w:rPr>
      </w:pPr>
      <w:r w:rsidRPr="008433A6">
        <w:rPr>
          <w:sz w:val="20"/>
        </w:rPr>
        <w:t>Jeffrey R. Holland, “Remember Lot’s Wife,” BYU Devotional on January 13, 2009.</w:t>
      </w:r>
    </w:p>
    <w:p w:rsidR="00F66A02" w:rsidRPr="008433A6" w:rsidRDefault="00F66A02" w:rsidP="00F66A02">
      <w:pPr>
        <w:pBdr>
          <w:bottom w:val="double" w:sz="6" w:space="1" w:color="auto"/>
        </w:pBdr>
        <w:ind w:left="720" w:hanging="720"/>
      </w:pPr>
    </w:p>
    <w:p w:rsidR="00F66A02" w:rsidRPr="008433A6" w:rsidRDefault="00F66A02" w:rsidP="00F66A02"/>
    <w:p w:rsidR="00F66A02" w:rsidRPr="005B1E7E" w:rsidRDefault="00F66A02" w:rsidP="005B1E7E">
      <w:pPr>
        <w:jc w:val="center"/>
        <w:rPr>
          <w:b/>
        </w:rPr>
      </w:pPr>
      <w:r w:rsidRPr="004409CB">
        <w:rPr>
          <w:b/>
        </w:rPr>
        <w:t>Shameful Origin</w:t>
      </w:r>
      <w:r>
        <w:rPr>
          <w:b/>
        </w:rPr>
        <w:t>s</w:t>
      </w:r>
      <w:r w:rsidRPr="004409CB">
        <w:rPr>
          <w:b/>
        </w:rPr>
        <w:t xml:space="preserve"> of Moab &amp; Ammon</w:t>
      </w:r>
    </w:p>
    <w:p w:rsidR="00F66A02" w:rsidRDefault="00F66A02" w:rsidP="00F66A02">
      <w:pPr>
        <w:ind w:firstLine="360"/>
      </w:pPr>
      <w:r>
        <w:t xml:space="preserve">19:30-38 “The aftermath of the great destruction, with the story of Lot and his two daughters, thematically echoes the aftermath of the flood, with the story of Noah and his three sons (Gen 9:18-27). In both the father becomes drunk and is the object of (sexual?) transgression by his offspring, resulting in a shameful ancestry for Israel’s neighbors (Canaan, Moab, and Ammon). These are ethnographic stories that cast aspersion on Israel’s culture rivals while acknowledging a kindship between them. Lot’s daughters are well-intentioned, aiming to engender </w:t>
      </w:r>
      <w:r>
        <w:rPr>
          <w:i/>
        </w:rPr>
        <w:t>offspring through their father</w:t>
      </w:r>
      <w:r>
        <w:t xml:space="preserve">, since they think there are no men left to impregnate them (v. 32). Their justification for engaging in sex with their father happens to be wrong, since only the cities of the plain were destroyed, but they do not know this. Lot is also relatively innocent, since he is drunk and unconscious during the sexual act (v. 35). . . . The offspring of Lot and his daughters have names that betray their shameful origins: </w:t>
      </w:r>
      <w:r>
        <w:rPr>
          <w:i/>
        </w:rPr>
        <w:t xml:space="preserve">Moab </w:t>
      </w:r>
      <w:r>
        <w:t xml:space="preserve">is a play on </w:t>
      </w:r>
      <w:r>
        <w:rPr>
          <w:i/>
        </w:rPr>
        <w:t xml:space="preserve">me’ab, </w:t>
      </w:r>
      <w:r>
        <w:t xml:space="preserve">“from the father,” and </w:t>
      </w:r>
      <w:r>
        <w:rPr>
          <w:i/>
        </w:rPr>
        <w:t xml:space="preserve">Ben-ammi </w:t>
      </w:r>
      <w:r>
        <w:t xml:space="preserve">means “son of my kinsman” (vv. 37-38)” </w:t>
      </w:r>
      <w:r w:rsidRPr="00A35069">
        <w:rPr>
          <w:sz w:val="20"/>
          <w:szCs w:val="20"/>
        </w:rPr>
        <w:t>(footnote NSRV Harper Collins Study Bible).</w:t>
      </w:r>
      <w:r>
        <w:t xml:space="preserve"> </w:t>
      </w:r>
    </w:p>
    <w:p w:rsidR="00F66A02" w:rsidRDefault="00F66A02" w:rsidP="00F12CEF"/>
    <w:sectPr w:rsidR="00F66A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0155" w:rsidRDefault="00B10155" w:rsidP="00111A89">
      <w:r>
        <w:separator/>
      </w:r>
    </w:p>
  </w:endnote>
  <w:endnote w:type="continuationSeparator" w:id="0">
    <w:p w:rsidR="00B10155" w:rsidRDefault="00B10155" w:rsidP="00111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SS">
    <w:altName w:val="Courier New"/>
    <w:charset w:val="00"/>
    <w:family w:val="auto"/>
    <w:pitch w:val="variable"/>
    <w:sig w:usb0="00000003" w:usb1="00002048"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0155" w:rsidRDefault="00B10155" w:rsidP="00111A89">
      <w:r>
        <w:separator/>
      </w:r>
    </w:p>
  </w:footnote>
  <w:footnote w:type="continuationSeparator" w:id="0">
    <w:p w:rsidR="00B10155" w:rsidRDefault="00B10155" w:rsidP="00111A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A3D"/>
    <w:rsid w:val="000C1F82"/>
    <w:rsid w:val="000F4EB3"/>
    <w:rsid w:val="00111A89"/>
    <w:rsid w:val="002139CE"/>
    <w:rsid w:val="0033262B"/>
    <w:rsid w:val="00380102"/>
    <w:rsid w:val="004409CB"/>
    <w:rsid w:val="005748C1"/>
    <w:rsid w:val="005B1E7E"/>
    <w:rsid w:val="005E2ED9"/>
    <w:rsid w:val="005E798E"/>
    <w:rsid w:val="00646689"/>
    <w:rsid w:val="00653B85"/>
    <w:rsid w:val="00673B69"/>
    <w:rsid w:val="006D2195"/>
    <w:rsid w:val="007B65DC"/>
    <w:rsid w:val="007C42BA"/>
    <w:rsid w:val="00834E41"/>
    <w:rsid w:val="00836502"/>
    <w:rsid w:val="00850D69"/>
    <w:rsid w:val="00997A3D"/>
    <w:rsid w:val="00A35069"/>
    <w:rsid w:val="00B10155"/>
    <w:rsid w:val="00B42B9A"/>
    <w:rsid w:val="00B90AF0"/>
    <w:rsid w:val="00C04DAE"/>
    <w:rsid w:val="00C66FA9"/>
    <w:rsid w:val="00CE119D"/>
    <w:rsid w:val="00E259E3"/>
    <w:rsid w:val="00F12CEF"/>
    <w:rsid w:val="00F36456"/>
    <w:rsid w:val="00F6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9BA0"/>
  <w15:chartTrackingRefBased/>
  <w15:docId w15:val="{18563E21-8021-49CD-9A26-D85A5CF6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A3D"/>
    <w:pPr>
      <w:spacing w:after="0" w:line="240" w:lineRule="auto"/>
    </w:pPr>
    <w:rPr>
      <w:rFonts w:ascii="Times New Roman" w:eastAsia="Times" w:hAnsi="Times New Roman" w:cs="Times New Roman"/>
      <w:sz w:val="24"/>
      <w:szCs w:val="24"/>
    </w:rPr>
  </w:style>
  <w:style w:type="paragraph" w:styleId="Heading1">
    <w:name w:val="heading 1"/>
    <w:basedOn w:val="Normal"/>
    <w:next w:val="Normal"/>
    <w:link w:val="Heading1Char"/>
    <w:qFormat/>
    <w:rsid w:val="00836502"/>
    <w:pPr>
      <w:keepNext/>
      <w:jc w:val="center"/>
      <w:outlineLvl w:val="0"/>
    </w:pPr>
    <w:rPr>
      <w:rFonts w:ascii="Times" w:eastAsia="Times New Roman" w:hAnsi="Times"/>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7A3D"/>
    <w:pPr>
      <w:spacing w:after="0" w:line="240" w:lineRule="auto"/>
    </w:pPr>
  </w:style>
  <w:style w:type="paragraph" w:styleId="Header">
    <w:name w:val="header"/>
    <w:basedOn w:val="Normal"/>
    <w:link w:val="HeaderChar"/>
    <w:rsid w:val="00997A3D"/>
    <w:pPr>
      <w:tabs>
        <w:tab w:val="center" w:pos="4320"/>
        <w:tab w:val="right" w:pos="8640"/>
      </w:tabs>
    </w:pPr>
  </w:style>
  <w:style w:type="character" w:customStyle="1" w:styleId="HeaderChar">
    <w:name w:val="Header Char"/>
    <w:basedOn w:val="DefaultParagraphFont"/>
    <w:link w:val="Header"/>
    <w:rsid w:val="00997A3D"/>
    <w:rPr>
      <w:rFonts w:ascii="Times New Roman" w:eastAsia="Times" w:hAnsi="Times New Roman" w:cs="Times New Roman"/>
      <w:sz w:val="24"/>
      <w:szCs w:val="24"/>
    </w:rPr>
  </w:style>
  <w:style w:type="paragraph" w:customStyle="1" w:styleId="WPDefaults">
    <w:name w:val="WP Defaults"/>
    <w:basedOn w:val="Normal"/>
    <w:rsid w:val="00997A3D"/>
    <w:rPr>
      <w:rFonts w:ascii="Courier" w:eastAsia="Times New Roman" w:hAnsi="Courier"/>
    </w:rPr>
  </w:style>
  <w:style w:type="character" w:customStyle="1" w:styleId="Heading1Char">
    <w:name w:val="Heading 1 Char"/>
    <w:basedOn w:val="DefaultParagraphFont"/>
    <w:link w:val="Heading1"/>
    <w:rsid w:val="00836502"/>
    <w:rPr>
      <w:rFonts w:ascii="Times" w:eastAsia="Times New Roman" w:hAnsi="Times" w:cs="Times New Roman"/>
      <w:b/>
      <w:sz w:val="48"/>
      <w:szCs w:val="24"/>
    </w:rPr>
  </w:style>
  <w:style w:type="paragraph" w:styleId="Title">
    <w:name w:val="Title"/>
    <w:basedOn w:val="Normal"/>
    <w:link w:val="TitleChar"/>
    <w:qFormat/>
    <w:rsid w:val="00836502"/>
    <w:pPr>
      <w:jc w:val="center"/>
    </w:pPr>
    <w:rPr>
      <w:rFonts w:eastAsia="Times New Roman"/>
      <w:b/>
      <w:sz w:val="28"/>
      <w:u w:val="single"/>
    </w:rPr>
  </w:style>
  <w:style w:type="character" w:customStyle="1" w:styleId="TitleChar">
    <w:name w:val="Title Char"/>
    <w:basedOn w:val="DefaultParagraphFont"/>
    <w:link w:val="Title"/>
    <w:rsid w:val="00836502"/>
    <w:rPr>
      <w:rFonts w:ascii="Times New Roman" w:eastAsia="Times New Roman" w:hAnsi="Times New Roman" w:cs="Times New Roman"/>
      <w:b/>
      <w:sz w:val="28"/>
      <w:szCs w:val="24"/>
      <w:u w:val="single"/>
    </w:rPr>
  </w:style>
  <w:style w:type="character" w:styleId="Hyperlink">
    <w:name w:val="Hyperlink"/>
    <w:basedOn w:val="DefaultParagraphFont"/>
    <w:uiPriority w:val="99"/>
    <w:unhideWhenUsed/>
    <w:rsid w:val="00F12CEF"/>
    <w:rPr>
      <w:color w:val="0563C1" w:themeColor="hyperlink"/>
      <w:u w:val="single"/>
    </w:rPr>
  </w:style>
  <w:style w:type="paragraph" w:styleId="CommentText">
    <w:name w:val="annotation text"/>
    <w:basedOn w:val="Normal"/>
    <w:link w:val="CommentTextChar"/>
    <w:uiPriority w:val="99"/>
    <w:semiHidden/>
    <w:unhideWhenUsed/>
    <w:rsid w:val="00111A89"/>
    <w:rPr>
      <w:sz w:val="20"/>
      <w:szCs w:val="20"/>
    </w:rPr>
  </w:style>
  <w:style w:type="character" w:customStyle="1" w:styleId="CommentTextChar">
    <w:name w:val="Comment Text Char"/>
    <w:basedOn w:val="DefaultParagraphFont"/>
    <w:link w:val="CommentText"/>
    <w:uiPriority w:val="99"/>
    <w:semiHidden/>
    <w:rsid w:val="00111A89"/>
    <w:rPr>
      <w:rFonts w:ascii="Times New Roman" w:eastAsia="Times" w:hAnsi="Times New Roman" w:cs="Times New Roman"/>
      <w:sz w:val="20"/>
      <w:szCs w:val="20"/>
    </w:rPr>
  </w:style>
  <w:style w:type="paragraph" w:styleId="FootnoteText">
    <w:name w:val="footnote text"/>
    <w:basedOn w:val="Normal"/>
    <w:link w:val="FootnoteTextChar"/>
    <w:uiPriority w:val="99"/>
    <w:semiHidden/>
    <w:unhideWhenUsed/>
    <w:rsid w:val="00111A89"/>
    <w:rPr>
      <w:sz w:val="20"/>
      <w:szCs w:val="20"/>
    </w:rPr>
  </w:style>
  <w:style w:type="character" w:customStyle="1" w:styleId="FootnoteTextChar">
    <w:name w:val="Footnote Text Char"/>
    <w:basedOn w:val="DefaultParagraphFont"/>
    <w:link w:val="FootnoteText"/>
    <w:uiPriority w:val="99"/>
    <w:semiHidden/>
    <w:rsid w:val="00111A89"/>
    <w:rPr>
      <w:rFonts w:ascii="Times New Roman" w:eastAsia="Times" w:hAnsi="Times New Roman" w:cs="Times New Roman"/>
      <w:sz w:val="20"/>
      <w:szCs w:val="20"/>
    </w:rPr>
  </w:style>
  <w:style w:type="character" w:styleId="CommentReference">
    <w:name w:val="annotation reference"/>
    <w:basedOn w:val="DefaultParagraphFont"/>
    <w:uiPriority w:val="99"/>
    <w:semiHidden/>
    <w:unhideWhenUsed/>
    <w:rsid w:val="00111A89"/>
    <w:rPr>
      <w:sz w:val="16"/>
      <w:szCs w:val="16"/>
    </w:rPr>
  </w:style>
  <w:style w:type="character" w:styleId="FootnoteReference">
    <w:name w:val="footnote reference"/>
    <w:basedOn w:val="DefaultParagraphFont"/>
    <w:rsid w:val="00111A89"/>
    <w:rPr>
      <w:position w:val="6"/>
      <w:sz w:val="16"/>
    </w:rPr>
  </w:style>
  <w:style w:type="paragraph" w:styleId="BalloonText">
    <w:name w:val="Balloon Text"/>
    <w:basedOn w:val="Normal"/>
    <w:link w:val="BalloonTextChar"/>
    <w:uiPriority w:val="99"/>
    <w:semiHidden/>
    <w:unhideWhenUsed/>
    <w:rsid w:val="00111A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A89"/>
    <w:rPr>
      <w:rFonts w:ascii="Segoe UI" w:eastAsia="Times"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v4z_H_77bs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57BC0-C504-4009-9A59-EED57C0DA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18</cp:revision>
  <dcterms:created xsi:type="dcterms:W3CDTF">2021-02-12T17:23:00Z</dcterms:created>
  <dcterms:modified xsi:type="dcterms:W3CDTF">2021-07-17T04:05:00Z</dcterms:modified>
</cp:coreProperties>
</file>