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162A3F9" w14:textId="0F13D7B0" w:rsidR="00B01A1E" w:rsidRPr="00581ACD" w:rsidRDefault="00BC6D80" w:rsidP="00634291">
      <w:pPr>
        <w:pStyle w:val="NoSpacing"/>
        <w:jc w:val="center"/>
        <w:rPr>
          <w:rFonts w:ascii="Times New Roman" w:hAnsi="Times New Roman" w:cs="Times New Roman"/>
          <w:b/>
          <w:sz w:val="26"/>
          <w:szCs w:val="26"/>
        </w:rPr>
      </w:pPr>
      <w:r w:rsidRPr="00581ACD">
        <w:rPr>
          <w:rFonts w:ascii="Times New Roman" w:hAnsi="Times New Roman" w:cs="Times New Roman"/>
          <w:b/>
          <w:sz w:val="26"/>
          <w:szCs w:val="26"/>
        </w:rPr>
        <w:t xml:space="preserve">Day 15 </w:t>
      </w:r>
      <w:r w:rsidR="00634291">
        <w:rPr>
          <w:rFonts w:ascii="Times New Roman" w:hAnsi="Times New Roman" w:cs="Times New Roman"/>
          <w:b/>
          <w:sz w:val="26"/>
          <w:szCs w:val="26"/>
        </w:rPr>
        <w:t>A Holy People</w:t>
      </w:r>
      <w:r w:rsidR="00F55917" w:rsidRPr="00581ACD">
        <w:rPr>
          <w:rFonts w:ascii="Times New Roman" w:hAnsi="Times New Roman" w:cs="Times New Roman"/>
          <w:b/>
          <w:sz w:val="26"/>
          <w:szCs w:val="26"/>
        </w:rPr>
        <w:t>: Leviticus 5-6:7; 16 (Day of Atonement); 19 (Ritual &amp; Moral Holiness); 23 (Festivals); 26 (Rewards &amp; Penalties for Obedience/Disobedience)</w:t>
      </w:r>
    </w:p>
    <w:p w14:paraId="60393F6D" w14:textId="4FDE4D82" w:rsidR="000A7174" w:rsidRPr="00634291" w:rsidRDefault="000A7174" w:rsidP="00634291">
      <w:pPr>
        <w:pStyle w:val="NoSpacing"/>
        <w:jc w:val="center"/>
        <w:rPr>
          <w:rStyle w:val="Hyperlink"/>
          <w:rFonts w:ascii="Times New Roman" w:hAnsi="Times New Roman" w:cs="Times New Roman"/>
          <w:sz w:val="23"/>
          <w:szCs w:val="23"/>
        </w:rPr>
      </w:pPr>
      <w:r w:rsidRPr="00634291">
        <w:rPr>
          <w:rFonts w:ascii="Times New Roman" w:hAnsi="Times New Roman" w:cs="Times New Roman"/>
          <w:sz w:val="23"/>
          <w:szCs w:val="23"/>
        </w:rPr>
        <w:t xml:space="preserve">Understanding the Day of Atonement (9:15) </w:t>
      </w:r>
      <w:hyperlink r:id="rId5" w:history="1">
        <w:r w:rsidRPr="00634291">
          <w:rPr>
            <w:rStyle w:val="Hyperlink"/>
            <w:rFonts w:ascii="Times New Roman" w:hAnsi="Times New Roman" w:cs="Times New Roman"/>
            <w:sz w:val="23"/>
            <w:szCs w:val="23"/>
          </w:rPr>
          <w:t>https://www.youtube.com/watch?v=4UYT-0AmlnA</w:t>
        </w:r>
      </w:hyperlink>
    </w:p>
    <w:p w14:paraId="0F432CBD" w14:textId="77777777" w:rsidR="000A7174" w:rsidRPr="00634291" w:rsidRDefault="000A7174" w:rsidP="00634291">
      <w:pPr>
        <w:pStyle w:val="NoSpacing"/>
        <w:jc w:val="center"/>
        <w:rPr>
          <w:rStyle w:val="Hyperlink"/>
          <w:rFonts w:ascii="Times New Roman" w:hAnsi="Times New Roman" w:cs="Times New Roman"/>
          <w:color w:val="auto"/>
          <w:sz w:val="23"/>
          <w:szCs w:val="23"/>
          <w:u w:val="none"/>
        </w:rPr>
      </w:pPr>
      <w:r w:rsidRPr="00634291">
        <w:rPr>
          <w:rStyle w:val="Hyperlink"/>
          <w:rFonts w:ascii="Times New Roman" w:hAnsi="Times New Roman" w:cs="Times New Roman"/>
          <w:color w:val="auto"/>
          <w:sz w:val="23"/>
          <w:szCs w:val="23"/>
          <w:u w:val="none"/>
        </w:rPr>
        <w:t xml:space="preserve">Leviticus 23-24 Festivals Holy Time (3:14) </w:t>
      </w:r>
      <w:hyperlink r:id="rId6" w:history="1">
        <w:r w:rsidRPr="00634291">
          <w:rPr>
            <w:rStyle w:val="Hyperlink"/>
            <w:rFonts w:ascii="Times New Roman" w:hAnsi="Times New Roman" w:cs="Times New Roman"/>
            <w:sz w:val="23"/>
            <w:szCs w:val="23"/>
          </w:rPr>
          <w:t>https://www.youtube.com/watch?v=LPq1A-P6LOk</w:t>
        </w:r>
      </w:hyperlink>
    </w:p>
    <w:p w14:paraId="1F1816F8" w14:textId="77777777" w:rsidR="000A7174" w:rsidRPr="00634291" w:rsidRDefault="000A7174" w:rsidP="00634291">
      <w:pPr>
        <w:pStyle w:val="NoSpacing"/>
        <w:jc w:val="center"/>
        <w:rPr>
          <w:rStyle w:val="Hyperlink"/>
          <w:rFonts w:ascii="Times New Roman" w:hAnsi="Times New Roman" w:cs="Times New Roman"/>
          <w:color w:val="auto"/>
          <w:sz w:val="23"/>
          <w:szCs w:val="23"/>
          <w:u w:val="none"/>
        </w:rPr>
      </w:pPr>
      <w:r w:rsidRPr="00634291">
        <w:rPr>
          <w:rStyle w:val="Hyperlink"/>
          <w:rFonts w:ascii="Times New Roman" w:hAnsi="Times New Roman" w:cs="Times New Roman"/>
          <w:color w:val="auto"/>
          <w:sz w:val="23"/>
          <w:szCs w:val="23"/>
          <w:u w:val="none"/>
        </w:rPr>
        <w:t xml:space="preserve">Leviticus 25 Year of Jubilee-Social Justice (3:00) </w:t>
      </w:r>
      <w:hyperlink r:id="rId7" w:history="1">
        <w:r w:rsidRPr="00634291">
          <w:rPr>
            <w:rStyle w:val="Hyperlink"/>
            <w:rFonts w:ascii="Times New Roman" w:hAnsi="Times New Roman" w:cs="Times New Roman"/>
            <w:sz w:val="23"/>
            <w:szCs w:val="23"/>
          </w:rPr>
          <w:t>https://www.youtube.com/watch?v=4cGhz1gkE3I</w:t>
        </w:r>
      </w:hyperlink>
    </w:p>
    <w:p w14:paraId="7A35E66E" w14:textId="77777777" w:rsidR="004D559A" w:rsidRDefault="000A7174" w:rsidP="00634291">
      <w:pPr>
        <w:pStyle w:val="NoSpacing"/>
        <w:jc w:val="center"/>
      </w:pPr>
      <w:r w:rsidRPr="00634291">
        <w:rPr>
          <w:rFonts w:ascii="Times New Roman" w:hAnsi="Times New Roman" w:cs="Times New Roman"/>
          <w:b/>
          <w:i/>
          <w:sz w:val="23"/>
          <w:szCs w:val="23"/>
        </w:rPr>
        <w:t>Optional</w:t>
      </w:r>
      <w:r w:rsidRPr="00634291">
        <w:rPr>
          <w:rFonts w:ascii="Times New Roman" w:hAnsi="Times New Roman" w:cs="Times New Roman"/>
          <w:i/>
          <w:sz w:val="23"/>
          <w:szCs w:val="23"/>
        </w:rPr>
        <w:t xml:space="preserve">: </w:t>
      </w:r>
      <w:r w:rsidR="004D559A" w:rsidRPr="00634291">
        <w:rPr>
          <w:rFonts w:ascii="Times New Roman" w:hAnsi="Times New Roman" w:cs="Times New Roman"/>
          <w:i/>
          <w:sz w:val="23"/>
          <w:szCs w:val="23"/>
        </w:rPr>
        <w:t>Leviticus Overview</w:t>
      </w:r>
      <w:r w:rsidRPr="00634291">
        <w:rPr>
          <w:rFonts w:ascii="Times New Roman" w:hAnsi="Times New Roman" w:cs="Times New Roman"/>
          <w:sz w:val="23"/>
          <w:szCs w:val="23"/>
        </w:rPr>
        <w:t xml:space="preserve"> (8:16)</w:t>
      </w:r>
      <w:r w:rsidR="004D559A" w:rsidRPr="00634291">
        <w:rPr>
          <w:rFonts w:ascii="Times New Roman" w:hAnsi="Times New Roman" w:cs="Times New Roman"/>
          <w:sz w:val="23"/>
          <w:szCs w:val="23"/>
        </w:rPr>
        <w:t xml:space="preserve"> </w:t>
      </w:r>
      <w:hyperlink r:id="rId8" w:history="1">
        <w:r w:rsidR="004D559A" w:rsidRPr="00634291">
          <w:rPr>
            <w:rStyle w:val="Hyperlink"/>
            <w:rFonts w:ascii="Times New Roman" w:hAnsi="Times New Roman" w:cs="Times New Roman"/>
            <w:sz w:val="23"/>
            <w:szCs w:val="23"/>
          </w:rPr>
          <w:t>https://www.youtube.com/watch?v=IJ-FekWUZzE&amp;t=5s</w:t>
        </w:r>
      </w:hyperlink>
    </w:p>
    <w:p w14:paraId="564EB5A5" w14:textId="77777777" w:rsidR="00634291" w:rsidRPr="00581ACD" w:rsidRDefault="00634291" w:rsidP="00634291">
      <w:pPr>
        <w:pBdr>
          <w:bottom w:val="double" w:sz="6" w:space="1" w:color="auto"/>
        </w:pBdr>
      </w:pPr>
    </w:p>
    <w:p w14:paraId="00D60EF6" w14:textId="7632CCC6" w:rsidR="004D559A" w:rsidRPr="004D559A" w:rsidRDefault="004D559A" w:rsidP="00BE3708">
      <w:pPr>
        <w:pStyle w:val="NoSpacing"/>
        <w:rPr>
          <w:rFonts w:ascii="Times New Roman" w:hAnsi="Times New Roman" w:cs="Times New Roman"/>
          <w:sz w:val="24"/>
          <w:szCs w:val="24"/>
        </w:rPr>
      </w:pPr>
    </w:p>
    <w:p w14:paraId="7C56E2B9" w14:textId="4FDDE604" w:rsidR="009F023A" w:rsidRDefault="009F023A" w:rsidP="00634291">
      <w:pPr>
        <w:jc w:val="center"/>
        <w:rPr>
          <w:b/>
          <w:bCs/>
          <w:szCs w:val="28"/>
        </w:rPr>
      </w:pPr>
      <w:r>
        <w:rPr>
          <w:b/>
          <w:bCs/>
          <w:szCs w:val="28"/>
        </w:rPr>
        <w:t>Overview of Leviticus</w:t>
      </w:r>
    </w:p>
    <w:p w14:paraId="2C44C0CB" w14:textId="77777777" w:rsidR="00581ACD" w:rsidRPr="00581ACD" w:rsidRDefault="00581ACD" w:rsidP="00581ACD">
      <w:pPr>
        <w:rPr>
          <w:bCs/>
          <w:szCs w:val="28"/>
        </w:rPr>
      </w:pPr>
      <w:r w:rsidRPr="00581ACD">
        <w:rPr>
          <w:bCs/>
          <w:szCs w:val="28"/>
        </w:rPr>
        <w:t>The purpose of Leviticus is to provide a manual or handbook on holiness designed to instruct the Hebrew community in holy worship and holy living so that they might imitate God’s holiness and enjoy the presence and blessing of God. All of this was done so that God might maintain his dwelling place among the people and walk among them as their God (26.11-12).</w:t>
      </w:r>
    </w:p>
    <w:p w14:paraId="64A4E510" w14:textId="77777777" w:rsidR="00581ACD" w:rsidRPr="00581ACD" w:rsidRDefault="00581ACD" w:rsidP="00581ACD">
      <w:pPr>
        <w:rPr>
          <w:bCs/>
          <w:szCs w:val="28"/>
        </w:rPr>
      </w:pPr>
    </w:p>
    <w:p w14:paraId="24F4954B" w14:textId="77777777" w:rsidR="00581ACD" w:rsidRPr="00581ACD" w:rsidRDefault="00581ACD" w:rsidP="00581ACD">
      <w:pPr>
        <w:rPr>
          <w:bCs/>
          <w:szCs w:val="28"/>
        </w:rPr>
      </w:pPr>
      <w:r>
        <w:rPr>
          <w:bCs/>
          <w:szCs w:val="28"/>
        </w:rPr>
        <w:t>The book emphasizes:</w:t>
      </w:r>
    </w:p>
    <w:p w14:paraId="56102919" w14:textId="77777777" w:rsidR="00581ACD" w:rsidRPr="00581ACD" w:rsidRDefault="00581ACD" w:rsidP="00581ACD">
      <w:pPr>
        <w:pStyle w:val="ListParagraph"/>
        <w:numPr>
          <w:ilvl w:val="0"/>
          <w:numId w:val="1"/>
        </w:numPr>
        <w:rPr>
          <w:bCs/>
          <w:szCs w:val="28"/>
        </w:rPr>
      </w:pPr>
      <w:r w:rsidRPr="00581ACD">
        <w:rPr>
          <w:bCs/>
          <w:szCs w:val="28"/>
        </w:rPr>
        <w:t>Holiness of God</w:t>
      </w:r>
    </w:p>
    <w:p w14:paraId="45058F87" w14:textId="77777777" w:rsidR="00581ACD" w:rsidRPr="00581ACD" w:rsidRDefault="00581ACD" w:rsidP="00581ACD">
      <w:pPr>
        <w:pStyle w:val="ListParagraph"/>
        <w:numPr>
          <w:ilvl w:val="0"/>
          <w:numId w:val="1"/>
        </w:numPr>
        <w:rPr>
          <w:bCs/>
          <w:szCs w:val="28"/>
        </w:rPr>
      </w:pPr>
      <w:r w:rsidRPr="00581ACD">
        <w:rPr>
          <w:bCs/>
          <w:szCs w:val="28"/>
        </w:rPr>
        <w:t>Purity of the covenant community</w:t>
      </w:r>
    </w:p>
    <w:p w14:paraId="01601A05" w14:textId="77777777" w:rsidR="00581ACD" w:rsidRPr="00581ACD" w:rsidRDefault="00581ACD" w:rsidP="00581ACD">
      <w:pPr>
        <w:pStyle w:val="ListParagraph"/>
        <w:numPr>
          <w:ilvl w:val="0"/>
          <w:numId w:val="1"/>
        </w:numPr>
        <w:rPr>
          <w:bCs/>
          <w:szCs w:val="28"/>
        </w:rPr>
      </w:pPr>
      <w:r w:rsidRPr="00581ACD">
        <w:rPr>
          <w:bCs/>
          <w:szCs w:val="28"/>
        </w:rPr>
        <w:t>Principle of substitution in the sacrificial ritual</w:t>
      </w:r>
    </w:p>
    <w:p w14:paraId="5ED2DB7A" w14:textId="77777777" w:rsidR="00581ACD" w:rsidRPr="00581ACD" w:rsidRDefault="00581ACD" w:rsidP="00581ACD">
      <w:pPr>
        <w:pStyle w:val="ListParagraph"/>
        <w:numPr>
          <w:ilvl w:val="0"/>
          <w:numId w:val="1"/>
        </w:numPr>
        <w:rPr>
          <w:bCs/>
          <w:szCs w:val="28"/>
        </w:rPr>
      </w:pPr>
      <w:r w:rsidRPr="00581ACD">
        <w:rPr>
          <w:bCs/>
          <w:szCs w:val="28"/>
        </w:rPr>
        <w:t>Principle of mediation in the service of the priest</w:t>
      </w:r>
    </w:p>
    <w:p w14:paraId="5A3AB0DC" w14:textId="77777777" w:rsidR="00581ACD" w:rsidRPr="00581ACD" w:rsidRDefault="00581ACD" w:rsidP="00581ACD">
      <w:pPr>
        <w:pStyle w:val="ListParagraph"/>
        <w:numPr>
          <w:ilvl w:val="0"/>
          <w:numId w:val="1"/>
        </w:numPr>
        <w:rPr>
          <w:bCs/>
          <w:szCs w:val="28"/>
        </w:rPr>
      </w:pPr>
      <w:r w:rsidRPr="00581ACD">
        <w:rPr>
          <w:bCs/>
          <w:szCs w:val="28"/>
        </w:rPr>
        <w:t>The redeeming of time by means of the liturgical calendar</w:t>
      </w:r>
    </w:p>
    <w:p w14:paraId="189FCF8D" w14:textId="77777777" w:rsidR="009F023A" w:rsidRPr="00581ACD" w:rsidRDefault="009F023A" w:rsidP="00BE3708">
      <w:pPr>
        <w:pStyle w:val="NoSpacing"/>
        <w:rPr>
          <w:rFonts w:ascii="Times New Roman" w:hAnsi="Times New Roman" w:cs="Times New Roman"/>
          <w:sz w:val="24"/>
          <w:szCs w:val="24"/>
        </w:rPr>
      </w:pPr>
    </w:p>
    <w:p w14:paraId="45EA0FB7" w14:textId="77777777" w:rsidR="00581ACD" w:rsidRDefault="00502B51" w:rsidP="00581ACD">
      <w:pPr>
        <w:pStyle w:val="NoSpacing"/>
        <w:rPr>
          <w:rFonts w:ascii="Times New Roman" w:hAnsi="Times New Roman" w:cs="Times New Roman"/>
          <w:sz w:val="24"/>
          <w:szCs w:val="24"/>
        </w:rPr>
      </w:pPr>
      <w:r w:rsidRPr="00581ACD">
        <w:rPr>
          <w:rFonts w:ascii="Times New Roman" w:hAnsi="Times New Roman" w:cs="Times New Roman"/>
          <w:sz w:val="24"/>
          <w:szCs w:val="24"/>
        </w:rPr>
        <w:t>A central and unifying theme of this book is ‘holiness’ as expressed in the Lord’s commandment, ‘Ye shall be holy: for I the Lord your God am holy’ (Lev 19:2). In Leviticus the Lord teaches ancient Israel about holiness in three areas: space, condition, and time. First, God reveals principles of holiness as manifested in sacred space—the building of the Tabernacle, which involves the laws of sacrifice, the consecration and functioning of the priests, and the laws of clean and unclean that are mediated at the Tabernacle (Lev 1-10). Second, Leviticus emphasizes the sacred condition of people as taught through a series of moral and ritual commandments with instructions about how a person can repent of sin and be cleansed from ritual impurity. In conjunction with these laws, the Lord reveals the principles of repentance and reconciliation that lead to atonement (Lev 11-22). Finally, the Lord institutes in the law moments of sacred time: the Sabbath and the festivals, during which the people learn holiness through their worship at these sacred times (Lev 23-25)</w:t>
      </w:r>
    </w:p>
    <w:p w14:paraId="3F69C1DD" w14:textId="77777777" w:rsidR="00581ACD" w:rsidRPr="00581ACD" w:rsidRDefault="00502B51" w:rsidP="00581ACD">
      <w:pPr>
        <w:jc w:val="right"/>
        <w:rPr>
          <w:rFonts w:ascii="Times" w:hAnsi="Times"/>
          <w:sz w:val="20"/>
          <w:szCs w:val="20"/>
        </w:rPr>
      </w:pPr>
      <w:r w:rsidRPr="00581ACD">
        <w:t xml:space="preserve"> </w:t>
      </w:r>
      <w:r w:rsidR="00581ACD" w:rsidRPr="00581ACD">
        <w:rPr>
          <w:rFonts w:ascii="Times" w:hAnsi="Times"/>
          <w:sz w:val="20"/>
          <w:szCs w:val="20"/>
        </w:rPr>
        <w:t xml:space="preserve">Holzapfel, Pike, and Seely, </w:t>
      </w:r>
      <w:r w:rsidR="00581ACD" w:rsidRPr="00581ACD">
        <w:rPr>
          <w:rFonts w:ascii="Times" w:hAnsi="Times"/>
          <w:i/>
          <w:sz w:val="20"/>
          <w:szCs w:val="20"/>
        </w:rPr>
        <w:t>Jehovah and the World of the Old Testament</w:t>
      </w:r>
      <w:r w:rsidR="00581ACD" w:rsidRPr="00581ACD">
        <w:rPr>
          <w:rFonts w:ascii="Times" w:hAnsi="Times"/>
          <w:sz w:val="20"/>
          <w:szCs w:val="20"/>
        </w:rPr>
        <w:t xml:space="preserve"> (2009), </w:t>
      </w:r>
      <w:r w:rsidR="00581ACD">
        <w:rPr>
          <w:rFonts w:ascii="Times" w:hAnsi="Times"/>
          <w:sz w:val="20"/>
          <w:szCs w:val="20"/>
        </w:rPr>
        <w:t>112</w:t>
      </w:r>
    </w:p>
    <w:p w14:paraId="573F01B7" w14:textId="77777777" w:rsidR="00581ACD" w:rsidRDefault="00581ACD" w:rsidP="00581ACD">
      <w:pPr>
        <w:pBdr>
          <w:bottom w:val="double" w:sz="6" w:space="1" w:color="auto"/>
        </w:pBdr>
      </w:pPr>
    </w:p>
    <w:p w14:paraId="2731BFCB" w14:textId="77777777" w:rsidR="00843676" w:rsidRDefault="00843676" w:rsidP="00581ACD">
      <w:pPr>
        <w:pBdr>
          <w:bottom w:val="double" w:sz="6" w:space="1" w:color="auto"/>
        </w:pBdr>
      </w:pPr>
      <w:r w:rsidRPr="00843676">
        <w:t xml:space="preserve">“The primary meaning of the Hebrew word translated ‘holiness’ (qodesh) is separation. The holy is that which is separate from the profane, the impure, the ordinary. Thus, for example, Israel is holy because it has been separated by Yahweh from other nations.  </w:t>
      </w:r>
    </w:p>
    <w:p w14:paraId="3A97A151" w14:textId="77777777" w:rsidR="00843676" w:rsidRPr="00581ACD" w:rsidRDefault="00843676" w:rsidP="00581ACD">
      <w:pPr>
        <w:pBdr>
          <w:bottom w:val="double" w:sz="6" w:space="1" w:color="auto"/>
        </w:pBdr>
      </w:pPr>
    </w:p>
    <w:p w14:paraId="661480B5" w14:textId="77777777" w:rsidR="00581ACD" w:rsidRPr="00581ACD" w:rsidRDefault="00581ACD" w:rsidP="00581ACD"/>
    <w:p w14:paraId="329052DD" w14:textId="0E6DDEEF" w:rsidR="00581ACD" w:rsidRPr="00634291" w:rsidRDefault="00581ACD" w:rsidP="00634291">
      <w:pPr>
        <w:pStyle w:val="NoSpacing"/>
        <w:jc w:val="center"/>
        <w:rPr>
          <w:rFonts w:ascii="Times New Roman" w:hAnsi="Times New Roman" w:cs="Times New Roman"/>
          <w:b/>
          <w:sz w:val="24"/>
          <w:szCs w:val="24"/>
        </w:rPr>
      </w:pPr>
      <w:r w:rsidRPr="00581ACD">
        <w:rPr>
          <w:rFonts w:ascii="Times New Roman" w:hAnsi="Times New Roman" w:cs="Times New Roman"/>
          <w:b/>
          <w:sz w:val="24"/>
          <w:szCs w:val="24"/>
        </w:rPr>
        <w:t>Role of Priests</w:t>
      </w:r>
    </w:p>
    <w:p w14:paraId="65C7B05D" w14:textId="77777777" w:rsidR="00581ACD" w:rsidRDefault="00581ACD" w:rsidP="00581ACD">
      <w:pPr>
        <w:ind w:firstLine="360"/>
        <w:rPr>
          <w:bCs/>
          <w:szCs w:val="28"/>
        </w:rPr>
      </w:pPr>
      <w:r>
        <w:rPr>
          <w:bCs/>
          <w:szCs w:val="28"/>
        </w:rPr>
        <w:t xml:space="preserve">Although the Priests’ Manual [Leviticus] focuses on the priesthood, few laws are reserved for priests alone. Their role is defined in pedagogic terms: to teach the distinctions “between the holy and the common, and between the unclean and the clean.” They must do this because Israel’s moral sins and physical impurities are leading to the pollution of the sanctuary and the expulsion of Israel from its land. The priests, then, are charged with a double task: to instruct </w:t>
      </w:r>
      <w:r>
        <w:rPr>
          <w:bCs/>
          <w:szCs w:val="28"/>
        </w:rPr>
        <w:lastRenderedPageBreak/>
        <w:t>Israel not to cause defilement and to purge the sanctuary whenever it is defiled. Leviticus, however, is not simply a collection of rituals. On the contrary, the ethical element fuses with and even informs the ritual, so that one may seek a moral basis behind each ritual act.”</w:t>
      </w:r>
    </w:p>
    <w:p w14:paraId="38C5D5F3" w14:textId="77777777" w:rsidR="00581ACD" w:rsidRDefault="00581ACD" w:rsidP="00581ACD">
      <w:pPr>
        <w:ind w:firstLine="360"/>
        <w:rPr>
          <w:bCs/>
          <w:szCs w:val="28"/>
        </w:rPr>
      </w:pPr>
      <w:r>
        <w:rPr>
          <w:bCs/>
          <w:szCs w:val="28"/>
        </w:rPr>
        <w:t xml:space="preserve">“Israel’s priests are not an insular elite. They are military chaplains, accompanying Israel’s armies in distant and dangerous battlefields (Num 31.6). They were called outside the sanctuary and, indeed, outside the settlements to quarantine and certify carriers of scale disease (Lev 14.2). The responsibility of the priesthood for the welfare of all Israel is nowhere better exemplified than in the relationship of priests and laity in the sacrificial service. The preliminary rites with the sacrificial animal are performed by the offerer: hand leaning, slaughtering, flaying, quartering, and washing (1.1-9). The priest takes over at the altar and continues the sacrificial ritual in silence. By virtue of his sacred status, the priest acts as the offerer’s (silent) intermediary before God. But he is more than a mere technician. In effect, he is the cultic counterpart or the prophet. Both represent Israelites before God. Both intercede on their behalf, one through ritual, the other through prayer. The welfare of Israel depends on both a Moses and an Aaron” </w:t>
      </w:r>
    </w:p>
    <w:p w14:paraId="18AD8FEA" w14:textId="77777777" w:rsidR="00581ACD" w:rsidRPr="00581ACD" w:rsidRDefault="00581ACD" w:rsidP="00581ACD">
      <w:pPr>
        <w:jc w:val="right"/>
        <w:rPr>
          <w:bCs/>
          <w:sz w:val="20"/>
          <w:szCs w:val="20"/>
        </w:rPr>
      </w:pPr>
      <w:r w:rsidRPr="00581ACD">
        <w:rPr>
          <w:bCs/>
          <w:sz w:val="20"/>
          <w:szCs w:val="20"/>
        </w:rPr>
        <w:t>Harper Collins Study Bible, NRSV 150.</w:t>
      </w:r>
    </w:p>
    <w:p w14:paraId="5576C62B" w14:textId="77777777" w:rsidR="007A7D0A" w:rsidRPr="00581ACD" w:rsidRDefault="007A7D0A" w:rsidP="007A7D0A">
      <w:pPr>
        <w:pBdr>
          <w:bottom w:val="double" w:sz="6" w:space="1" w:color="auto"/>
        </w:pBdr>
      </w:pPr>
    </w:p>
    <w:p w14:paraId="489D485F" w14:textId="77777777" w:rsidR="007A7D0A" w:rsidRDefault="007A7D0A" w:rsidP="007A7D0A">
      <w:pPr>
        <w:pStyle w:val="NoSpacing"/>
      </w:pPr>
    </w:p>
    <w:p w14:paraId="527918C3" w14:textId="4134CC42" w:rsidR="007A7D0A" w:rsidRDefault="007A7D0A" w:rsidP="00634291">
      <w:pPr>
        <w:jc w:val="center"/>
        <w:rPr>
          <w:b/>
          <w:bCs/>
          <w:szCs w:val="28"/>
        </w:rPr>
      </w:pPr>
      <w:r>
        <w:rPr>
          <w:b/>
          <w:bCs/>
          <w:szCs w:val="28"/>
        </w:rPr>
        <w:t>Cultural Background on Ritual Purification &amp; Animal Sacrifice</w:t>
      </w:r>
    </w:p>
    <w:p w14:paraId="0AB7E342" w14:textId="77777777" w:rsidR="007A7D0A" w:rsidRPr="007A7D0A" w:rsidRDefault="007A7D0A" w:rsidP="007A7D0A">
      <w:pPr>
        <w:rPr>
          <w:bCs/>
          <w:szCs w:val="28"/>
        </w:rPr>
      </w:pPr>
      <w:r w:rsidRPr="007A7D0A">
        <w:rPr>
          <w:bCs/>
          <w:szCs w:val="28"/>
        </w:rPr>
        <w:t>The Hebrews were not alone in the ancient Near East in their practice of ritual purification and animal sacrifice. Highly structural priestly classes in charge of sanctuaries or temples are known in virtually all of the religious traditions concurrent with Hebrew faith as recounted in the Old Testament. Ceremonial washing and anointing or purification rites before worship or service before the gods were common to both Mesopotamian and Egyptian religion. Sacrifice, both animal and human, was commonplace in ancient Near Eastern religion as well. Canaanite religions included ‘peace offerings’ and ‘whole’ or ‘burnt offerings’ similar to those of Hebrew practices. Despite these similarities in priestly office and form of ritual, the Hebrew religion remained distinct from other ancient Near Eastern religions in several ways. The differences include:</w:t>
      </w:r>
    </w:p>
    <w:p w14:paraId="4B961C77" w14:textId="77777777" w:rsidR="007A7D0A" w:rsidRPr="007A7D0A" w:rsidRDefault="007A7D0A" w:rsidP="007A7D0A">
      <w:pPr>
        <w:numPr>
          <w:ilvl w:val="0"/>
          <w:numId w:val="2"/>
        </w:numPr>
        <w:rPr>
          <w:bCs/>
          <w:szCs w:val="28"/>
        </w:rPr>
      </w:pPr>
      <w:r w:rsidRPr="007A7D0A">
        <w:rPr>
          <w:bCs/>
          <w:szCs w:val="28"/>
        </w:rPr>
        <w:t>The idea of direct divine revelation and theophany</w:t>
      </w:r>
    </w:p>
    <w:p w14:paraId="58CED1A1" w14:textId="77777777" w:rsidR="007A7D0A" w:rsidRPr="007A7D0A" w:rsidRDefault="007A7D0A" w:rsidP="007A7D0A">
      <w:pPr>
        <w:numPr>
          <w:ilvl w:val="0"/>
          <w:numId w:val="2"/>
        </w:numPr>
        <w:rPr>
          <w:bCs/>
          <w:szCs w:val="28"/>
        </w:rPr>
      </w:pPr>
      <w:r w:rsidRPr="007A7D0A">
        <w:rPr>
          <w:bCs/>
          <w:szCs w:val="28"/>
        </w:rPr>
        <w:t>The concept of strict monotheism</w:t>
      </w:r>
    </w:p>
    <w:p w14:paraId="114CE382" w14:textId="77777777" w:rsidR="007A7D0A" w:rsidRPr="007A7D0A" w:rsidRDefault="007A7D0A" w:rsidP="007A7D0A">
      <w:pPr>
        <w:numPr>
          <w:ilvl w:val="0"/>
          <w:numId w:val="2"/>
        </w:numPr>
        <w:rPr>
          <w:bCs/>
          <w:szCs w:val="28"/>
        </w:rPr>
      </w:pPr>
      <w:r w:rsidRPr="007A7D0A">
        <w:rPr>
          <w:bCs/>
          <w:szCs w:val="28"/>
        </w:rPr>
        <w:t>The understanding of the origin and impact of human sin</w:t>
      </w:r>
    </w:p>
    <w:p w14:paraId="4DC0B9C8" w14:textId="77777777" w:rsidR="007A7D0A" w:rsidRPr="007A7D0A" w:rsidRDefault="007A7D0A" w:rsidP="007A7D0A">
      <w:pPr>
        <w:numPr>
          <w:ilvl w:val="0"/>
          <w:numId w:val="2"/>
        </w:numPr>
        <w:rPr>
          <w:bCs/>
          <w:szCs w:val="28"/>
        </w:rPr>
      </w:pPr>
      <w:r w:rsidRPr="007A7D0A">
        <w:rPr>
          <w:bCs/>
          <w:szCs w:val="28"/>
        </w:rPr>
        <w:t>The highly ethical and moral nature of Hebrew religion in contrast to the Canaanite fertility cult</w:t>
      </w:r>
    </w:p>
    <w:p w14:paraId="75A41966" w14:textId="77777777" w:rsidR="007A7D0A" w:rsidRPr="007A7D0A" w:rsidRDefault="007A7D0A" w:rsidP="007A7D0A">
      <w:pPr>
        <w:numPr>
          <w:ilvl w:val="0"/>
          <w:numId w:val="2"/>
        </w:numPr>
        <w:rPr>
          <w:bCs/>
          <w:szCs w:val="28"/>
        </w:rPr>
      </w:pPr>
      <w:r w:rsidRPr="007A7D0A">
        <w:rPr>
          <w:bCs/>
          <w:szCs w:val="28"/>
        </w:rPr>
        <w:t>The holy and righteous character of Yahweh in contrast to the capricious behavior of the pagan deities</w:t>
      </w:r>
    </w:p>
    <w:p w14:paraId="336F65E7" w14:textId="77777777" w:rsidR="007A7D0A" w:rsidRPr="007A7D0A" w:rsidRDefault="007A7D0A" w:rsidP="007A7D0A">
      <w:pPr>
        <w:numPr>
          <w:ilvl w:val="0"/>
          <w:numId w:val="2"/>
        </w:numPr>
        <w:rPr>
          <w:bCs/>
          <w:szCs w:val="28"/>
        </w:rPr>
      </w:pPr>
      <w:r w:rsidRPr="007A7D0A">
        <w:rPr>
          <w:bCs/>
          <w:szCs w:val="28"/>
        </w:rPr>
        <w:t>The sacrificial system was directed toward the goal of personal and community holiness</w:t>
      </w:r>
    </w:p>
    <w:p w14:paraId="53A50E88" w14:textId="77777777" w:rsidR="007A7D0A" w:rsidRPr="007A7D0A" w:rsidRDefault="007A7D0A" w:rsidP="007A7D0A">
      <w:pPr>
        <w:numPr>
          <w:ilvl w:val="0"/>
          <w:numId w:val="2"/>
        </w:numPr>
        <w:rPr>
          <w:bCs/>
          <w:szCs w:val="28"/>
        </w:rPr>
      </w:pPr>
      <w:r w:rsidRPr="007A7D0A">
        <w:rPr>
          <w:bCs/>
          <w:szCs w:val="28"/>
        </w:rPr>
        <w:t>The prohibition of human sacrifice</w:t>
      </w:r>
    </w:p>
    <w:p w14:paraId="7E2B5969" w14:textId="77777777" w:rsidR="007A7D0A" w:rsidRDefault="007A7D0A" w:rsidP="007A7D0A">
      <w:pPr>
        <w:rPr>
          <w:bCs/>
          <w:szCs w:val="28"/>
        </w:rPr>
      </w:pPr>
      <w:r w:rsidRPr="007A7D0A">
        <w:rPr>
          <w:bCs/>
          <w:szCs w:val="28"/>
        </w:rPr>
        <w:t xml:space="preserve"> . . . Leviticus is basically a manual or handbook on holiness designed to instruct the Hebrew community in holy worship and holy living so that they might enjoy the presence and blessing of God (cf. Lev 26:1-13). The laws and instructions were to transform the former Hebrew slaves into a ‘kingdom of priests and a holy nation’ (cf. Exod. 19:6)</w:t>
      </w:r>
      <w:r>
        <w:rPr>
          <w:bCs/>
          <w:szCs w:val="28"/>
        </w:rPr>
        <w:t xml:space="preserve">. </w:t>
      </w:r>
      <w:r w:rsidRPr="007A7D0A">
        <w:rPr>
          <w:bCs/>
          <w:szCs w:val="28"/>
        </w:rPr>
        <w:t xml:space="preserve"> </w:t>
      </w:r>
    </w:p>
    <w:p w14:paraId="60120176" w14:textId="77777777" w:rsidR="007A7D0A" w:rsidRPr="00260C47" w:rsidRDefault="00260C47" w:rsidP="007A7D0A">
      <w:pPr>
        <w:jc w:val="right"/>
        <w:rPr>
          <w:bCs/>
          <w:sz w:val="20"/>
          <w:szCs w:val="20"/>
        </w:rPr>
      </w:pPr>
      <w:r w:rsidRPr="00260C47">
        <w:rPr>
          <w:bCs/>
          <w:sz w:val="20"/>
          <w:szCs w:val="20"/>
        </w:rPr>
        <w:t xml:space="preserve">Andrew E. Hill &amp; John H. Walton, </w:t>
      </w:r>
      <w:r w:rsidRPr="00260C47">
        <w:rPr>
          <w:bCs/>
          <w:i/>
          <w:sz w:val="20"/>
          <w:szCs w:val="20"/>
        </w:rPr>
        <w:t>A Survey of the Old Testament</w:t>
      </w:r>
      <w:r w:rsidRPr="00260C47">
        <w:rPr>
          <w:bCs/>
          <w:sz w:val="20"/>
          <w:szCs w:val="20"/>
        </w:rPr>
        <w:t>,</w:t>
      </w:r>
      <w:r w:rsidR="007A7D0A" w:rsidRPr="00260C47">
        <w:rPr>
          <w:bCs/>
          <w:sz w:val="20"/>
          <w:szCs w:val="20"/>
        </w:rPr>
        <w:t xml:space="preserve"> 129-130</w:t>
      </w:r>
    </w:p>
    <w:p w14:paraId="2DCEF07F" w14:textId="77777777" w:rsidR="0022269F" w:rsidRDefault="0022269F" w:rsidP="00581ACD">
      <w:pPr>
        <w:pBdr>
          <w:bottom w:val="double" w:sz="6" w:space="1" w:color="auto"/>
        </w:pBdr>
      </w:pPr>
    </w:p>
    <w:p w14:paraId="76ED0FCD" w14:textId="77777777" w:rsidR="0022269F" w:rsidRDefault="0022269F" w:rsidP="00581ACD">
      <w:pPr>
        <w:pBdr>
          <w:bottom w:val="double" w:sz="6" w:space="1" w:color="auto"/>
        </w:pBdr>
      </w:pPr>
      <w:r w:rsidRPr="0022269F">
        <w:t xml:space="preserve">Ugarit religion, like that of the surrounding civilizations of Babylon, Assyria, and the Hittites, represents a far more complex sacrificial system and cult in general than that found in the pages of the Old Testament. By comparison, Leviticus minimizes the details of sacrificial procedures </w:t>
      </w:r>
      <w:r w:rsidRPr="0022269F">
        <w:lastRenderedPageBreak/>
        <w:t>and especially the many steps involved as well as the groups of animals required to keep the divine world satisfied. This simplification represents the opposite of what has been proposed. Rather than Leviticus providing evidence of the evolution of the sacrificial elements into late and complex descriptions, Ugarit is already complex, and Israel is simple by contrast. Thus the sacrificial system in Israel does not provide evidence of a late and highly developed system. It is almost as though the theology surrounding the Israelite sacrifices sought to maximize the significance of each of them but to minimize the details necessary to perform the rituals</w:t>
      </w:r>
      <w:r>
        <w:t xml:space="preserve">. </w:t>
      </w:r>
    </w:p>
    <w:p w14:paraId="7F84193D" w14:textId="77777777" w:rsidR="00581ACD" w:rsidRPr="00260C47" w:rsidRDefault="00260C47" w:rsidP="0022269F">
      <w:pPr>
        <w:pBdr>
          <w:bottom w:val="double" w:sz="6" w:space="1" w:color="auto"/>
        </w:pBdr>
        <w:jc w:val="right"/>
        <w:rPr>
          <w:sz w:val="20"/>
          <w:szCs w:val="20"/>
        </w:rPr>
      </w:pPr>
      <w:r w:rsidRPr="00260C47">
        <w:rPr>
          <w:sz w:val="20"/>
          <w:szCs w:val="20"/>
        </w:rPr>
        <w:t xml:space="preserve">Richard S. Hess, </w:t>
      </w:r>
      <w:r w:rsidRPr="00260C47">
        <w:rPr>
          <w:i/>
          <w:sz w:val="20"/>
          <w:szCs w:val="20"/>
        </w:rPr>
        <w:t>The Old Testament</w:t>
      </w:r>
      <w:r w:rsidRPr="00260C47">
        <w:rPr>
          <w:sz w:val="20"/>
          <w:szCs w:val="20"/>
        </w:rPr>
        <w:t>,</w:t>
      </w:r>
      <w:r w:rsidR="0022269F" w:rsidRPr="00260C47">
        <w:rPr>
          <w:sz w:val="20"/>
          <w:szCs w:val="20"/>
        </w:rPr>
        <w:t xml:space="preserve"> 93</w:t>
      </w:r>
    </w:p>
    <w:p w14:paraId="09C93D6A" w14:textId="77777777" w:rsidR="0022269F" w:rsidRPr="00581ACD" w:rsidRDefault="0022269F" w:rsidP="0022269F">
      <w:pPr>
        <w:pBdr>
          <w:bottom w:val="double" w:sz="6" w:space="1" w:color="auto"/>
        </w:pBdr>
        <w:jc w:val="right"/>
      </w:pPr>
    </w:p>
    <w:p w14:paraId="0845AF8D" w14:textId="77777777" w:rsidR="00581ACD" w:rsidRDefault="00581ACD" w:rsidP="00BC6D80">
      <w:pPr>
        <w:pStyle w:val="NoSpacing"/>
      </w:pPr>
    </w:p>
    <w:p w14:paraId="7FF25741" w14:textId="3447D031" w:rsidR="00845A34" w:rsidRPr="00634291" w:rsidRDefault="00845A34" w:rsidP="00634291">
      <w:pPr>
        <w:jc w:val="center"/>
        <w:rPr>
          <w:b/>
          <w:bCs/>
          <w:szCs w:val="28"/>
        </w:rPr>
      </w:pPr>
      <w:r w:rsidRPr="008433A6">
        <w:rPr>
          <w:b/>
          <w:bCs/>
          <w:szCs w:val="28"/>
        </w:rPr>
        <w:t>The Offerings of the Israelites in the Mosaic Dispensation</w:t>
      </w:r>
    </w:p>
    <w:p w14:paraId="0F0A4CD5" w14:textId="77777777" w:rsidR="00845A34" w:rsidRPr="008433A6" w:rsidRDefault="00845A34" w:rsidP="00845A34">
      <w:r w:rsidRPr="008433A6">
        <w:tab/>
      </w:r>
      <w:r w:rsidRPr="008433A6">
        <w:rPr>
          <w:b/>
        </w:rPr>
        <w:t>1.</w:t>
      </w:r>
      <w:r w:rsidRPr="008433A6">
        <w:t xml:space="preserve">  The </w:t>
      </w:r>
      <w:r w:rsidRPr="008433A6">
        <w:rPr>
          <w:b/>
          <w:i/>
          <w:iCs/>
        </w:rPr>
        <w:t>burnt offering</w:t>
      </w:r>
      <w:r w:rsidRPr="008433A6">
        <w:rPr>
          <w:i/>
          <w:iCs/>
        </w:rPr>
        <w:t xml:space="preserve"> </w:t>
      </w:r>
      <w:r w:rsidRPr="008433A6">
        <w:t>consisted of the slaying and burning of a bullock, a ram, or a turtledove or pigeon (Lev 1:3-17).  It produced “a sweet savour unto the Lord”; in other words, it was pleasing to him.</w:t>
      </w:r>
    </w:p>
    <w:p w14:paraId="1932305E" w14:textId="77777777" w:rsidR="00845A34" w:rsidRPr="008433A6" w:rsidRDefault="00845A34" w:rsidP="00845A34">
      <w:r w:rsidRPr="008433A6">
        <w:tab/>
        <w:t>It was also sometimes called the whole burnt offering because the whole animal was consumed upon the altar.  The altar w</w:t>
      </w:r>
      <w:r>
        <w:t>as “the table of the Lord” (Mal</w:t>
      </w:r>
      <w:r w:rsidRPr="008433A6">
        <w:t xml:space="preserve"> </w:t>
      </w:r>
      <w:r>
        <w:t>1:7, 12; Ps</w:t>
      </w:r>
      <w:r w:rsidRPr="008433A6">
        <w:t xml:space="preserve"> 23:5) and whatever was put upon it was the “food of God” (Lev 21:6, 8, 17, 21).</w:t>
      </w:r>
    </w:p>
    <w:p w14:paraId="35764756" w14:textId="77777777" w:rsidR="00845A34" w:rsidRPr="008433A6" w:rsidRDefault="00845A34" w:rsidP="00845A34">
      <w:r w:rsidRPr="008433A6">
        <w:tab/>
        <w:t>Procedure:  (1) The person brought an unblemished male animal to the gate and dedicated it as an offering by laying his hands upon the animal’s head.  (2) He then slew the animal.  (3) The priests collected the blood and sprinkled it around the altar.  (4) The person skinned the animal (the priest kept the skin [Lev. 7:8]), and cut it into pieces.  (5) The priests offered the pieces upon the altar after washing the inwards and legs with water.</w:t>
      </w:r>
    </w:p>
    <w:p w14:paraId="159B8922" w14:textId="77777777" w:rsidR="00845A34" w:rsidRPr="008433A6" w:rsidRDefault="00845A34" w:rsidP="00845A34">
      <w:r w:rsidRPr="008433A6">
        <w:tab/>
        <w:t>This offering was a continuation of the sacrifice inaugurated in the days of Adam (Moses 5:4-8), and practiced by various individuals on down to the time of Jacob.  It represented the spotless sacrifice of the Savior.  Under the law of Moses there was a burnt offering of lamb each morning and each night on behalf of all Israel (Ex. 29:38-42).  The morning sacrifice was to burn all day, and the evening sacrifice was to burn all night. (Lev. 6:9.)  The priests were to see that the fire of the altar was kept burning perpetually. (Lev. 6:13.)</w:t>
      </w:r>
    </w:p>
    <w:p w14:paraId="0AE89D7E" w14:textId="77777777" w:rsidR="00845A34" w:rsidRPr="008433A6" w:rsidRDefault="00845A34" w:rsidP="00845A34">
      <w:r w:rsidRPr="008433A6">
        <w:tab/>
      </w:r>
      <w:r w:rsidRPr="008433A6">
        <w:rPr>
          <w:b/>
        </w:rPr>
        <w:t>2.</w:t>
      </w:r>
      <w:r w:rsidRPr="008433A6">
        <w:t xml:space="preserve">  The </w:t>
      </w:r>
      <w:r w:rsidRPr="008433A6">
        <w:rPr>
          <w:b/>
          <w:i/>
          <w:iCs/>
        </w:rPr>
        <w:t>meal offering</w:t>
      </w:r>
      <w:r w:rsidRPr="008433A6">
        <w:t xml:space="preserve"> is called a meat offering or a food offering in some older translations of the Bible.  Today “meat” (the term used in the King James Version) implies flesh, whereas this offering was of the fruits of the field (Lev 2:1-16).  This offering produced “a sweet savour unto the Lord.”</w:t>
      </w:r>
    </w:p>
    <w:p w14:paraId="18EEB0D6" w14:textId="77777777" w:rsidR="00845A34" w:rsidRPr="008433A6" w:rsidRDefault="00845A34" w:rsidP="00845A34">
      <w:r w:rsidRPr="008433A6">
        <w:tab/>
        <w:t>This offering took several forms.  Usually it was in the form of fine flour that would be given raw or as baked cakes.  The ingredients of the offering included flour, oil, frankincense, and salt.  Honey and leaven were not to be used.</w:t>
      </w:r>
    </w:p>
    <w:p w14:paraId="1802AEDA" w14:textId="77777777" w:rsidR="00845A34" w:rsidRPr="008433A6" w:rsidRDefault="00845A34" w:rsidP="00845A34">
      <w:r w:rsidRPr="008433A6">
        <w:tab/>
        <w:t xml:space="preserve">Only a “memorial” or portion of this offering was burnt upon the altar.  The main part of it was to be eaten by the priests and their families. </w:t>
      </w:r>
    </w:p>
    <w:p w14:paraId="39FAA202" w14:textId="77777777" w:rsidR="00845A34" w:rsidRPr="008433A6" w:rsidRDefault="00845A34" w:rsidP="00845A34">
      <w:r w:rsidRPr="008433A6">
        <w:tab/>
      </w:r>
      <w:r w:rsidRPr="008433A6">
        <w:rPr>
          <w:b/>
        </w:rPr>
        <w:t>3.</w:t>
      </w:r>
      <w:r w:rsidRPr="008433A6">
        <w:t xml:space="preserve">  The </w:t>
      </w:r>
      <w:r w:rsidRPr="008433A6">
        <w:rPr>
          <w:b/>
          <w:i/>
          <w:iCs/>
        </w:rPr>
        <w:t>peace offering</w:t>
      </w:r>
      <w:r w:rsidRPr="008433A6">
        <w:t xml:space="preserve"> involved the slaying of an unblemished animal, either male or female (sometimes called the offering of well-being;  Lev 3:1-17).  A portion of the animal was burnt upon the altar producing a “sweet savour offering.”</w:t>
      </w:r>
    </w:p>
    <w:p w14:paraId="5F260522" w14:textId="77777777" w:rsidR="00845A34" w:rsidRPr="008433A6" w:rsidRDefault="00845A34" w:rsidP="00845A34">
      <w:r w:rsidRPr="008433A6">
        <w:tab/>
        <w:t xml:space="preserve">This was an offering shared by the altar of God, the priest, and the family of the person making the offering.  It was a feast of conciliation, a feast of communion, a feast of thanksgiving.  The sacrificial victim could be chosen from among the cattle, the sheep, or the goats.  As the animal was brought to the door of the tabernacle, the owner laid his hands upon its head and offered a prayer of thanksgiving.  Therefore this offering is sometimes called a thank offering.  After the animal was killed at the altar, the kidneys and internal fat were burned on the </w:t>
      </w:r>
      <w:r w:rsidRPr="008433A6">
        <w:lastRenderedPageBreak/>
        <w:t xml:space="preserve">altar.  The breast and the right thigh were given to the priest after they had been waved in the direction of the tabernacle, thereby signifying that it had been given to God and was now conferred upon his servants (Lev 7:28-34).  The rest of the meat was eaten by the offerer and his family at a so-called “sacrificial” meal, or meal of “thanksgiving” (Lev 7:15-16).  </w:t>
      </w:r>
    </w:p>
    <w:p w14:paraId="509FE475" w14:textId="77777777" w:rsidR="00845A34" w:rsidRPr="008433A6" w:rsidRDefault="00845A34" w:rsidP="00845A34">
      <w:r w:rsidRPr="008433A6">
        <w:tab/>
      </w:r>
      <w:r w:rsidRPr="008433A6">
        <w:rPr>
          <w:b/>
        </w:rPr>
        <w:t>4.</w:t>
      </w:r>
      <w:r w:rsidRPr="008433A6">
        <w:t xml:space="preserve">  The </w:t>
      </w:r>
      <w:r w:rsidRPr="008433A6">
        <w:rPr>
          <w:b/>
          <w:i/>
          <w:iCs/>
        </w:rPr>
        <w:t>sin offering</w:t>
      </w:r>
      <w:r w:rsidRPr="008433A6">
        <w:rPr>
          <w:i/>
          <w:iCs/>
        </w:rPr>
        <w:t xml:space="preserve"> </w:t>
      </w:r>
      <w:r w:rsidRPr="008433A6">
        <w:t>consisted of slaying a young, unblemished bullock and then burning part of it upon the altar and the rest of it upon a fire “without the camp.”  This did not produce a sweet savour unto the Lord.</w:t>
      </w:r>
    </w:p>
    <w:p w14:paraId="210C470E" w14:textId="77777777" w:rsidR="00845A34" w:rsidRPr="008433A6" w:rsidRDefault="00845A34" w:rsidP="00845A34">
      <w:r w:rsidRPr="008433A6">
        <w:tab/>
        <w:t xml:space="preserve">This offering was made for sins committed in ignorance but subsequently discovered or sins committed unintentionally (Lev 4:1-35;  see Num 15:27-31, which contrasts sins committed unintentionally [KJV = ignorance] and sins willfully, intentionally committed).  It was for offenses that could not be undone or repaired.  If the offense could be repaired, a trespass offering was made (see below).  The ritual for a sin offering varied according to the rank of the offender.  One distinction of the sin offering from the regular burnt offering was the disposition of the blood.  The priest smeared the blood of the victim on the horns of the altar of incense inside the tabernacle and then poured out the rest at the base of the brazen altar of sacrifice outside.  On the annual Day of Atonement the distinctive aspect of the sin offering was the fact that the priest took some of the blood into the holy of holies and sprinkled it before the mercy seat (Lev 16:14).  </w:t>
      </w:r>
    </w:p>
    <w:p w14:paraId="6F0EA2CC" w14:textId="77777777" w:rsidR="00845A34" w:rsidRPr="008433A6" w:rsidRDefault="00845A34" w:rsidP="00845A34">
      <w:r w:rsidRPr="008433A6">
        <w:tab/>
        <w:t xml:space="preserve">A portion of the animal (the internal fat and the kidneys) was burned upon the altar and the rest, most of the animal was taken outside the camp to be burned in the area where the ashes of the altar were poured out. </w:t>
      </w:r>
    </w:p>
    <w:p w14:paraId="1F886D96" w14:textId="77777777" w:rsidR="00845A34" w:rsidRPr="008433A6" w:rsidRDefault="00845A34" w:rsidP="00845A34">
      <w:r w:rsidRPr="008433A6">
        <w:tab/>
      </w:r>
      <w:r w:rsidRPr="008433A6">
        <w:rPr>
          <w:b/>
        </w:rPr>
        <w:t>5.</w:t>
      </w:r>
      <w:r w:rsidRPr="008433A6">
        <w:t xml:space="preserve">  The </w:t>
      </w:r>
      <w:r w:rsidRPr="008433A6">
        <w:rPr>
          <w:b/>
          <w:i/>
          <w:iCs/>
        </w:rPr>
        <w:t>trespass offerin</w:t>
      </w:r>
      <w:r w:rsidRPr="008433A6">
        <w:rPr>
          <w:i/>
          <w:iCs/>
        </w:rPr>
        <w:t xml:space="preserve">g </w:t>
      </w:r>
      <w:r w:rsidRPr="008433A6">
        <w:t xml:space="preserve">was also called the </w:t>
      </w:r>
      <w:r w:rsidRPr="008433A6">
        <w:rPr>
          <w:b/>
          <w:i/>
        </w:rPr>
        <w:t>guilt offering</w:t>
      </w:r>
      <w:r w:rsidRPr="008433A6">
        <w:t>.  Like the sin offering, it was not a sweet savour offering.</w:t>
      </w:r>
    </w:p>
    <w:p w14:paraId="4FE0E889" w14:textId="77777777" w:rsidR="00845A34" w:rsidRPr="008433A6" w:rsidRDefault="00845A34" w:rsidP="00845A34">
      <w:r w:rsidRPr="008433A6">
        <w:tab/>
        <w:t>This offering was appropriate in those cases where a person discovered that he had sinned or trespassed against the Lord or his neighbor, and was able to remedy or repair the damage (Lev 5:1-16; 6:4-5).  The scripture suggests two types of offenses for which the trespass offering would be appropriate.  One was where a person found that he had held back or consumed something that belonged to the Lord such as tithes or firstborn of flocks (Lev 5:15).  The penalty was not only to restore to the sanctuary of the Lord that which had been withheld, but to add one-fifth thereto as a penalty (Lev 5:16).  A second kind of offense was where something had been withheld or disallowed to a neighbor by deceit (Lev 6:2-3).  Here again he had to restore that which had been lost by his neighbor plus one-fifth of its value for a penalty.</w:t>
      </w:r>
    </w:p>
    <w:p w14:paraId="0245AFD5" w14:textId="77777777" w:rsidR="00845A34" w:rsidRPr="008433A6" w:rsidRDefault="00845A34" w:rsidP="00845A34">
      <w:r w:rsidRPr="008433A6">
        <w:tab/>
      </w:r>
      <w:r w:rsidRPr="008433A6">
        <w:rPr>
          <w:b/>
        </w:rPr>
        <w:t>6.</w:t>
      </w:r>
      <w:r w:rsidRPr="008433A6">
        <w:t xml:space="preserve">  The </w:t>
      </w:r>
      <w:r w:rsidRPr="008433A6">
        <w:rPr>
          <w:b/>
          <w:i/>
          <w:iCs/>
        </w:rPr>
        <w:t>drink offering</w:t>
      </w:r>
      <w:r w:rsidRPr="008433A6">
        <w:rPr>
          <w:i/>
          <w:iCs/>
        </w:rPr>
        <w:t xml:space="preserve"> </w:t>
      </w:r>
      <w:r w:rsidRPr="008433A6">
        <w:t xml:space="preserve">was often used to express thanksgiving to the Lord.  It consisted of the fourth part of a </w:t>
      </w:r>
      <w:r w:rsidRPr="008433A6">
        <w:rPr>
          <w:i/>
        </w:rPr>
        <w:t>hin</w:t>
      </w:r>
      <w:r w:rsidRPr="008433A6">
        <w:t xml:space="preserve"> of wine (Lev 23:13), or about three pints.  This offering was simply a libation poured out before the Lord.  This offering occurred [at the Tabernacle/Temple] every morning and every night along with the burnt offering and the meat (meal) offering (Exod 29:39-40).</w:t>
      </w:r>
    </w:p>
    <w:p w14:paraId="64F73949" w14:textId="31BC21DD" w:rsidR="00845A34" w:rsidRPr="008433A6" w:rsidRDefault="00845A34" w:rsidP="00845A34">
      <w:r w:rsidRPr="008433A6">
        <w:tab/>
      </w:r>
      <w:r w:rsidRPr="008433A6">
        <w:rPr>
          <w:b/>
        </w:rPr>
        <w:t>7.</w:t>
      </w:r>
      <w:r w:rsidRPr="008433A6">
        <w:t xml:space="preserve">  The </w:t>
      </w:r>
      <w:r w:rsidRPr="008433A6">
        <w:rPr>
          <w:b/>
          <w:i/>
          <w:iCs/>
        </w:rPr>
        <w:t>wave offering</w:t>
      </w:r>
      <w:r w:rsidRPr="008433A6">
        <w:rPr>
          <w:i/>
          <w:iCs/>
        </w:rPr>
        <w:t xml:space="preserve">, </w:t>
      </w:r>
      <w:r w:rsidRPr="008433A6">
        <w:t xml:space="preserve">sometimes called the </w:t>
      </w:r>
      <w:r w:rsidRPr="008433A6">
        <w:rPr>
          <w:b/>
          <w:i/>
        </w:rPr>
        <w:t>heave offering</w:t>
      </w:r>
      <w:r w:rsidRPr="008433A6">
        <w:t xml:space="preserve">, was performed in connection with a peace offering (Lev. 8:29), the firstfruits of the harvest (Lev. 23:11-12), and of the two loaves at the Feast of Weeks (Lev. 23:20).  It was also used in connection with the cleansing of a leper.  (Lev. 14:12, 24.)  The “waving” or “heaving” consisted of taking the breast and the right shoulder of a sacrificial animal or the firstfruits of the harvest and moving them horizontally in the direction of the sanctuary.  It was to signify that these choice parts of the sacrifice were first presented to God and then returned to the officiating priests for their use. </w:t>
      </w:r>
    </w:p>
    <w:p w14:paraId="7B5D837A" w14:textId="77777777" w:rsidR="00845A34" w:rsidRPr="008433A6" w:rsidRDefault="00845A34" w:rsidP="00845A34">
      <w:pPr>
        <w:jc w:val="right"/>
        <w:rPr>
          <w:sz w:val="20"/>
        </w:rPr>
      </w:pPr>
      <w:r w:rsidRPr="008433A6">
        <w:rPr>
          <w:sz w:val="20"/>
        </w:rPr>
        <w:t xml:space="preserve">Adapted from Victor L. Ludlow, </w:t>
      </w:r>
      <w:r w:rsidRPr="008433A6">
        <w:rPr>
          <w:i/>
          <w:sz w:val="20"/>
        </w:rPr>
        <w:t>Unlocking the Old Testament</w:t>
      </w:r>
      <w:r w:rsidRPr="008433A6">
        <w:rPr>
          <w:sz w:val="20"/>
        </w:rPr>
        <w:t xml:space="preserve"> (Deseret; 1981), 34-37.</w:t>
      </w:r>
    </w:p>
    <w:p w14:paraId="4D89D6FB" w14:textId="77777777" w:rsidR="00845A34" w:rsidRPr="008433A6" w:rsidRDefault="00845A34" w:rsidP="00845A34">
      <w:pPr>
        <w:pBdr>
          <w:bottom w:val="double" w:sz="6" w:space="1" w:color="auto"/>
        </w:pBdr>
      </w:pPr>
    </w:p>
    <w:p w14:paraId="3C09382C" w14:textId="77777777" w:rsidR="00845A34" w:rsidRPr="008433A6" w:rsidRDefault="00845A34" w:rsidP="00845A34"/>
    <w:p w14:paraId="48BCB36B" w14:textId="77777777" w:rsidR="00845A34" w:rsidRPr="008433A6" w:rsidRDefault="00845A34" w:rsidP="00845A34">
      <w:pPr>
        <w:pStyle w:val="BodyTextIndent3"/>
        <w:ind w:hanging="720"/>
        <w:jc w:val="center"/>
        <w:rPr>
          <w:b/>
        </w:rPr>
      </w:pPr>
      <w:r w:rsidRPr="008433A6">
        <w:rPr>
          <w:b/>
        </w:rPr>
        <w:t>The Law of Sacrifice</w:t>
      </w:r>
    </w:p>
    <w:p w14:paraId="0A3BFBFF" w14:textId="77777777" w:rsidR="00845A34" w:rsidRPr="008433A6" w:rsidRDefault="00845A34" w:rsidP="00845A34">
      <w:pPr>
        <w:pStyle w:val="BodyTextIndent3"/>
        <w:ind w:left="0" w:firstLine="360"/>
      </w:pPr>
    </w:p>
    <w:p w14:paraId="3A3F1D3C" w14:textId="77777777" w:rsidR="00845A34" w:rsidRPr="00634291" w:rsidRDefault="00845A34" w:rsidP="00845A34">
      <w:pPr>
        <w:pStyle w:val="BodyTextIndent3"/>
        <w:ind w:left="0" w:firstLine="360"/>
        <w:rPr>
          <w:i/>
          <w:sz w:val="22"/>
          <w:szCs w:val="22"/>
        </w:rPr>
      </w:pPr>
      <w:r w:rsidRPr="00634291">
        <w:rPr>
          <w:i/>
          <w:sz w:val="22"/>
          <w:szCs w:val="22"/>
        </w:rPr>
        <w:t xml:space="preserve">Now that you have read about the actual physical sacrifices that ancient Israelites were commanded to make, think about the law or </w:t>
      </w:r>
      <w:r w:rsidRPr="00634291">
        <w:rPr>
          <w:sz w:val="22"/>
          <w:szCs w:val="22"/>
        </w:rPr>
        <w:t>principle</w:t>
      </w:r>
      <w:r w:rsidRPr="00634291">
        <w:rPr>
          <w:i/>
          <w:sz w:val="22"/>
          <w:szCs w:val="22"/>
        </w:rPr>
        <w:t xml:space="preserve"> of sacrifice in general.  What is it?  How did the Israelite sacrifices relate to the law of sacrifice?  Is the Law of Sacrifice part of the restored gospel of Jesus Christ?  If so, how?  What is your relationship to “sacrifice”?  Consider these questions in relation to this passage from the Lectures on Faith.</w:t>
      </w:r>
    </w:p>
    <w:p w14:paraId="22515819" w14:textId="77777777" w:rsidR="00845A34" w:rsidRPr="008433A6" w:rsidRDefault="00845A34" w:rsidP="00845A34">
      <w:pPr>
        <w:pStyle w:val="BodyTextIndent3"/>
        <w:ind w:left="0" w:firstLine="360"/>
      </w:pPr>
    </w:p>
    <w:p w14:paraId="25AD6DA2" w14:textId="77777777" w:rsidR="00845A34" w:rsidRPr="00634291" w:rsidRDefault="00845A34" w:rsidP="00845A34">
      <w:pPr>
        <w:ind w:firstLine="360"/>
      </w:pPr>
      <w:r w:rsidRPr="00634291">
        <w:t xml:space="preserve">For a man to lay down his all, his character and reputation, his honor, and applause, his good name among men, his houses, his lands, his brothers and sisters, his wife and children, and even his own life — counting all things but filth and dross for the excellency of the knowledge of Jesus Christ — requires more than mere belief or supposition that he is doing the will of God; but actual knowledge, realizing that, when these sufferings are ended, he will enter into eternal rest, and be a partaker of the glory of God. …  A religion that does not require the sacrifice of all things never has power sufficient to produce the faith necessary [to lead] unto life and salvation; for, from the first existence of man, the faith necessary unto the enjoyment of life and salvation never could be obtained without the sacrifice of all earthly things.  It was through this sacrifice, and this only, that God has ordained that men should enjoy eternal life; and it is through the medium of the sacrifice of all earthly things that men do actually know that they are doing the things that are well pleasing in the sight of God.  When a man has offered in sacrifice all that he has for the truth’s sake, not even withholding his life, and believing before God that he has been called to make this sacrifice because he seeks to do his will, he does know, most assuredly, that God does and will accept his sacrifice and offering, and that he has not, nor will not seek his face in vain.  Under these circumstances, then, he can obtain the faith necessary for him to lay hold on eternal life. …  It is vain for persons to fancy to themselves that they are heirs with those, or can be heirs with them, who have offered their all in sacrifice, and by this means obtained faith in God and favor with him so as to obtain eternal life, unless they, in like manner, offer unto him the same sacrifice, and through that offering obtain the knowledge that they are accepted of him. …  From the days of righteous Abel to the present time, the knowledge that men have that they are accepted in the sight of God is obtained by offering sacrifice. …  Those, then, who make the sacrifice, will have the testimony that their course is pleasing in the sight of God; and those who have this testimony will have faith to lay hold on eternal life; and will be enabled, through faith, to endure unto the end, and receive the crown that is laid up for them that love the appearing of our Lord Jesus Christ.  But those who do not make the sacrifice cannot enjoy this faith, because men are dependent upon this sacrifice in order to obtain this faith:  therefore, they cannot lay hold upon eternal life, because the revelations of God do not guarantee unto them the authority so to do, and without this guarantee faith could not exist.” </w:t>
      </w:r>
      <w:bookmarkStart w:id="0" w:name="_GoBack"/>
      <w:bookmarkEnd w:id="0"/>
    </w:p>
    <w:p w14:paraId="09539C53" w14:textId="77777777" w:rsidR="00845A34" w:rsidRPr="00B61166" w:rsidRDefault="00845A34" w:rsidP="00B61166">
      <w:pPr>
        <w:pStyle w:val="BodyTextIndent3"/>
        <w:ind w:left="0" w:firstLine="360"/>
        <w:jc w:val="right"/>
        <w:rPr>
          <w:sz w:val="20"/>
          <w:lang w:val="fr-FR"/>
        </w:rPr>
      </w:pPr>
      <w:r w:rsidRPr="007E4ABA">
        <w:rPr>
          <w:i/>
          <w:sz w:val="20"/>
          <w:lang w:val="fr-FR"/>
        </w:rPr>
        <w:t>Lectures on Faith</w:t>
      </w:r>
      <w:r w:rsidRPr="007E4ABA">
        <w:rPr>
          <w:sz w:val="20"/>
          <w:lang w:val="fr-FR"/>
        </w:rPr>
        <w:t>, lecture #6, paragraphs 5-7.</w:t>
      </w:r>
    </w:p>
    <w:sectPr w:rsidR="00845A34" w:rsidRPr="00B611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w:altName w:val="Times"/>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782243"/>
    <w:multiLevelType w:val="hybridMultilevel"/>
    <w:tmpl w:val="152C9F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87C5747"/>
    <w:multiLevelType w:val="hybridMultilevel"/>
    <w:tmpl w:val="1E7002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fr-FR" w:vendorID="64" w:dllVersion="131078" w:nlCheck="1" w:checkStyle="0"/>
  <w:activeWritingStyle w:appName="MSWord" w:lang="en-US" w:vendorID="64" w:dllVersion="131078" w:nlCheck="1" w:checkStyle="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C6D80"/>
    <w:rsid w:val="000A7174"/>
    <w:rsid w:val="00127899"/>
    <w:rsid w:val="0022269F"/>
    <w:rsid w:val="00260C47"/>
    <w:rsid w:val="004D559A"/>
    <w:rsid w:val="00502B51"/>
    <w:rsid w:val="00581ACD"/>
    <w:rsid w:val="00634291"/>
    <w:rsid w:val="006454D7"/>
    <w:rsid w:val="007901EC"/>
    <w:rsid w:val="007A7D0A"/>
    <w:rsid w:val="007E538A"/>
    <w:rsid w:val="00843676"/>
    <w:rsid w:val="00845A34"/>
    <w:rsid w:val="009F023A"/>
    <w:rsid w:val="00B01A1E"/>
    <w:rsid w:val="00B21357"/>
    <w:rsid w:val="00B61166"/>
    <w:rsid w:val="00BC6D80"/>
    <w:rsid w:val="00BE3708"/>
    <w:rsid w:val="00C16A3F"/>
    <w:rsid w:val="00F267C6"/>
    <w:rsid w:val="00F33466"/>
    <w:rsid w:val="00F55917"/>
    <w:rsid w:val="00F839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B36F4A"/>
  <w15:chartTrackingRefBased/>
  <w15:docId w15:val="{DABC6FD0-95E9-4B97-AC20-0F2EB3041C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45A34"/>
    <w:pPr>
      <w:spacing w:after="0" w:line="240" w:lineRule="auto"/>
    </w:pPr>
    <w:rPr>
      <w:rFonts w:ascii="Times New Roman" w:eastAsia="Times"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BC6D80"/>
    <w:pPr>
      <w:spacing w:after="0" w:line="240" w:lineRule="auto"/>
    </w:pPr>
  </w:style>
  <w:style w:type="paragraph" w:styleId="BodyTextIndent3">
    <w:name w:val="Body Text Indent 3"/>
    <w:basedOn w:val="Normal"/>
    <w:link w:val="BodyTextIndent3Char"/>
    <w:rsid w:val="00845A34"/>
    <w:pPr>
      <w:ind w:left="720" w:hanging="360"/>
    </w:pPr>
  </w:style>
  <w:style w:type="character" w:customStyle="1" w:styleId="BodyTextIndent3Char">
    <w:name w:val="Body Text Indent 3 Char"/>
    <w:basedOn w:val="DefaultParagraphFont"/>
    <w:link w:val="BodyTextIndent3"/>
    <w:rsid w:val="00845A34"/>
    <w:rPr>
      <w:rFonts w:ascii="Times New Roman" w:eastAsia="Times" w:hAnsi="Times New Roman" w:cs="Times New Roman"/>
      <w:sz w:val="24"/>
      <w:szCs w:val="24"/>
    </w:rPr>
  </w:style>
  <w:style w:type="character" w:styleId="Hyperlink">
    <w:name w:val="Hyperlink"/>
    <w:basedOn w:val="DefaultParagraphFont"/>
    <w:uiPriority w:val="99"/>
    <w:unhideWhenUsed/>
    <w:rsid w:val="00B21357"/>
    <w:rPr>
      <w:color w:val="0563C1" w:themeColor="hyperlink"/>
      <w:u w:val="single"/>
    </w:rPr>
  </w:style>
  <w:style w:type="paragraph" w:styleId="ListParagraph">
    <w:name w:val="List Paragraph"/>
    <w:basedOn w:val="Normal"/>
    <w:uiPriority w:val="34"/>
    <w:qFormat/>
    <w:rsid w:val="00581ACD"/>
    <w:pPr>
      <w:ind w:left="720"/>
      <w:contextualSpacing/>
    </w:pPr>
  </w:style>
  <w:style w:type="character" w:styleId="CommentReference">
    <w:name w:val="annotation reference"/>
    <w:basedOn w:val="DefaultParagraphFont"/>
    <w:uiPriority w:val="99"/>
    <w:semiHidden/>
    <w:unhideWhenUsed/>
    <w:rsid w:val="004D559A"/>
    <w:rPr>
      <w:sz w:val="16"/>
      <w:szCs w:val="16"/>
    </w:rPr>
  </w:style>
  <w:style w:type="paragraph" w:styleId="CommentText">
    <w:name w:val="annotation text"/>
    <w:basedOn w:val="Normal"/>
    <w:link w:val="CommentTextChar"/>
    <w:uiPriority w:val="99"/>
    <w:semiHidden/>
    <w:unhideWhenUsed/>
    <w:rsid w:val="004D559A"/>
    <w:rPr>
      <w:sz w:val="20"/>
      <w:szCs w:val="20"/>
    </w:rPr>
  </w:style>
  <w:style w:type="character" w:customStyle="1" w:styleId="CommentTextChar">
    <w:name w:val="Comment Text Char"/>
    <w:basedOn w:val="DefaultParagraphFont"/>
    <w:link w:val="CommentText"/>
    <w:uiPriority w:val="99"/>
    <w:semiHidden/>
    <w:rsid w:val="004D559A"/>
    <w:rPr>
      <w:rFonts w:ascii="Times New Roman" w:eastAsia="Times"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4D559A"/>
    <w:rPr>
      <w:b/>
      <w:bCs/>
    </w:rPr>
  </w:style>
  <w:style w:type="character" w:customStyle="1" w:styleId="CommentSubjectChar">
    <w:name w:val="Comment Subject Char"/>
    <w:basedOn w:val="CommentTextChar"/>
    <w:link w:val="CommentSubject"/>
    <w:uiPriority w:val="99"/>
    <w:semiHidden/>
    <w:rsid w:val="004D559A"/>
    <w:rPr>
      <w:rFonts w:ascii="Times New Roman" w:eastAsia="Times" w:hAnsi="Times New Roman" w:cs="Times New Roman"/>
      <w:b/>
      <w:bCs/>
      <w:sz w:val="20"/>
      <w:szCs w:val="20"/>
    </w:rPr>
  </w:style>
  <w:style w:type="paragraph" w:styleId="BalloonText">
    <w:name w:val="Balloon Text"/>
    <w:basedOn w:val="Normal"/>
    <w:link w:val="BalloonTextChar"/>
    <w:uiPriority w:val="99"/>
    <w:semiHidden/>
    <w:unhideWhenUsed/>
    <w:rsid w:val="004D559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D559A"/>
    <w:rPr>
      <w:rFonts w:ascii="Segoe UI" w:eastAsia="Times"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IJ-FekWUZzE&amp;t=5s" TargetMode="External"/><Relationship Id="rId3" Type="http://schemas.openxmlformats.org/officeDocument/2006/relationships/settings" Target="settings.xml"/><Relationship Id="rId7" Type="http://schemas.openxmlformats.org/officeDocument/2006/relationships/hyperlink" Target="https://www.youtube.com/watch?v=4cGhz1gkE3I"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youtube.com/watch?v=LPq1A-P6LOk" TargetMode="External"/><Relationship Id="rId5" Type="http://schemas.openxmlformats.org/officeDocument/2006/relationships/hyperlink" Target="https://www.youtube.com/watch?v=4UYT-0AmlnA"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214</TotalTime>
  <Pages>5</Pages>
  <Words>2636</Words>
  <Characters>15028</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Brigham Young University</Company>
  <LinksUpToDate>false</LinksUpToDate>
  <CharactersWithSpaces>17629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Amy Easton-Flake</dc:creator>
  <cp:keywords/>
  <dc:description/>
  <cp:lastModifiedBy>Amy Easton-Flake</cp:lastModifiedBy>
  <cp:revision>11</cp:revision>
  <dcterms:created xsi:type="dcterms:W3CDTF">2021-03-23T22:27:00Z</dcterms:created>
  <dcterms:modified xsi:type="dcterms:W3CDTF">2021-07-17T04:18:00Z</dcterms:modified>
</cp:coreProperties>
</file>