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7256" w:rsidRPr="0066042C" w:rsidRDefault="00E87781" w:rsidP="00E34A30">
      <w:pPr>
        <w:ind w:right="-720"/>
        <w:rPr>
          <w:b/>
          <w:sz w:val="26"/>
          <w:szCs w:val="26"/>
        </w:rPr>
      </w:pPr>
      <w:r w:rsidRPr="0066042C">
        <w:rPr>
          <w:b/>
          <w:sz w:val="26"/>
          <w:szCs w:val="26"/>
        </w:rPr>
        <w:t>Day 16 Wanderings in the Wilderness</w:t>
      </w:r>
      <w:r w:rsidR="00E34A30">
        <w:rPr>
          <w:b/>
          <w:sz w:val="26"/>
          <w:szCs w:val="26"/>
        </w:rPr>
        <w:t>:</w:t>
      </w:r>
      <w:r w:rsidRPr="0066042C">
        <w:rPr>
          <w:b/>
          <w:sz w:val="26"/>
          <w:szCs w:val="26"/>
        </w:rPr>
        <w:t xml:space="preserve"> </w:t>
      </w:r>
      <w:r w:rsidR="005C2EFC" w:rsidRPr="0066042C">
        <w:rPr>
          <w:b/>
          <w:sz w:val="26"/>
          <w:szCs w:val="26"/>
        </w:rPr>
        <w:t>Numbers 11-17; 20-21:9; 24-25:9; 27; 36</w:t>
      </w:r>
    </w:p>
    <w:p w:rsidR="00E34A30" w:rsidRPr="00E34A30" w:rsidRDefault="00E34A30" w:rsidP="00E34A30">
      <w:pPr>
        <w:pStyle w:val="NoSpacing"/>
        <w:numPr>
          <w:ilvl w:val="0"/>
          <w:numId w:val="2"/>
        </w:numPr>
        <w:rPr>
          <w:rFonts w:ascii="Times New Roman" w:hAnsi="Times New Roman" w:cs="Times New Roman"/>
          <w:sz w:val="24"/>
          <w:szCs w:val="24"/>
        </w:rPr>
      </w:pPr>
      <w:r w:rsidRPr="00E34A30">
        <w:rPr>
          <w:rFonts w:ascii="Times New Roman" w:hAnsi="Times New Roman" w:cs="Times New Roman"/>
          <w:sz w:val="24"/>
          <w:szCs w:val="24"/>
        </w:rPr>
        <w:t xml:space="preserve">Overview of Numbers </w:t>
      </w:r>
      <w:hyperlink r:id="rId5" w:history="1">
        <w:r w:rsidRPr="00E34A30">
          <w:rPr>
            <w:rStyle w:val="Hyperlink"/>
            <w:rFonts w:ascii="Times New Roman" w:hAnsi="Times New Roman" w:cs="Times New Roman"/>
            <w:sz w:val="24"/>
            <w:szCs w:val="24"/>
          </w:rPr>
          <w:t>https://www.youtube.com/watch?v=tp5MIrMZFqo</w:t>
        </w:r>
      </w:hyperlink>
      <w:r w:rsidRPr="00E34A30">
        <w:rPr>
          <w:rStyle w:val="Hyperlink"/>
          <w:rFonts w:ascii="Times New Roman" w:hAnsi="Times New Roman" w:cs="Times New Roman"/>
          <w:sz w:val="24"/>
          <w:szCs w:val="24"/>
        </w:rPr>
        <w:t xml:space="preserve"> (6:51)</w:t>
      </w:r>
    </w:p>
    <w:p w:rsidR="00697256" w:rsidRPr="008433A6" w:rsidRDefault="00697256" w:rsidP="00697256">
      <w:pPr>
        <w:pStyle w:val="BodyTextIndent3"/>
        <w:pBdr>
          <w:bottom w:val="double" w:sz="6" w:space="1" w:color="auto"/>
        </w:pBdr>
        <w:ind w:left="0" w:firstLine="0"/>
      </w:pPr>
    </w:p>
    <w:p w:rsidR="00697256" w:rsidRPr="008433A6" w:rsidRDefault="00697256" w:rsidP="00843DC8">
      <w:pPr>
        <w:pStyle w:val="BodyTextIndent3"/>
        <w:ind w:left="0" w:firstLine="0"/>
      </w:pPr>
    </w:p>
    <w:p w:rsidR="00697256" w:rsidRDefault="00697256" w:rsidP="00E34A30">
      <w:pPr>
        <w:pStyle w:val="BodyTextIndent3"/>
        <w:ind w:firstLine="0"/>
        <w:rPr>
          <w:b/>
        </w:rPr>
      </w:pPr>
      <w:r w:rsidRPr="008433A6">
        <w:rPr>
          <w:b/>
        </w:rPr>
        <w:t>An Outline of the Book of Numbers</w:t>
      </w:r>
    </w:p>
    <w:p w:rsidR="00E34A30" w:rsidRPr="00E34A30" w:rsidRDefault="00E34A30" w:rsidP="00E34A30">
      <w:pPr>
        <w:pStyle w:val="BodyTextIndent3"/>
        <w:ind w:firstLine="0"/>
        <w:rPr>
          <w:b/>
        </w:rPr>
      </w:pPr>
    </w:p>
    <w:p w:rsidR="00697256" w:rsidRPr="008433A6" w:rsidRDefault="00697256" w:rsidP="00697256">
      <w:pPr>
        <w:pStyle w:val="BodyTextIndent3"/>
      </w:pPr>
      <w:r w:rsidRPr="008433A6">
        <w:t>I. Preparations for Leaving Sinai (1:1-10:10)</w:t>
      </w:r>
    </w:p>
    <w:p w:rsidR="00697256" w:rsidRPr="008433A6" w:rsidRDefault="00697256" w:rsidP="00697256">
      <w:pPr>
        <w:pStyle w:val="BodyTextIndent3"/>
      </w:pPr>
      <w:r w:rsidRPr="008433A6">
        <w:tab/>
        <w:t>The census &amp; order of the camp (1:1-4:49)</w:t>
      </w:r>
    </w:p>
    <w:p w:rsidR="00697256" w:rsidRPr="008433A6" w:rsidRDefault="00697256" w:rsidP="00697256">
      <w:pPr>
        <w:pStyle w:val="BodyTextIndent3"/>
        <w:ind w:firstLine="0"/>
      </w:pPr>
      <w:r w:rsidRPr="008433A6">
        <w:t>The Nazirite vow (</w:t>
      </w:r>
      <w:proofErr w:type="spellStart"/>
      <w:r w:rsidRPr="008433A6">
        <w:t>Num</w:t>
      </w:r>
      <w:proofErr w:type="spellEnd"/>
      <w:r w:rsidRPr="008433A6">
        <w:t xml:space="preserve"> 6:1-21)</w:t>
      </w:r>
    </w:p>
    <w:p w:rsidR="00697256" w:rsidRPr="008433A6" w:rsidRDefault="00697256" w:rsidP="00697256">
      <w:pPr>
        <w:pStyle w:val="BodyTextIndent3"/>
        <w:ind w:firstLine="0"/>
      </w:pPr>
      <w:r w:rsidRPr="008433A6">
        <w:t>The Aaronic Priestly blessing (</w:t>
      </w:r>
      <w:proofErr w:type="spellStart"/>
      <w:r w:rsidRPr="008433A6">
        <w:t>Num</w:t>
      </w:r>
      <w:proofErr w:type="spellEnd"/>
      <w:r w:rsidRPr="008433A6">
        <w:t xml:space="preserve"> 6:22-27)</w:t>
      </w:r>
    </w:p>
    <w:p w:rsidR="00697256" w:rsidRPr="008433A6" w:rsidRDefault="00697256" w:rsidP="00697256">
      <w:pPr>
        <w:pStyle w:val="BodyTextIndent3"/>
      </w:pPr>
      <w:r w:rsidRPr="008433A6">
        <w:tab/>
        <w:t xml:space="preserve">The second </w:t>
      </w:r>
      <w:proofErr w:type="spellStart"/>
      <w:proofErr w:type="gramStart"/>
      <w:r w:rsidRPr="008433A6">
        <w:t>passover</w:t>
      </w:r>
      <w:proofErr w:type="spellEnd"/>
      <w:proofErr w:type="gramEnd"/>
      <w:r w:rsidRPr="008433A6">
        <w:t xml:space="preserve"> (9:1-10:10)</w:t>
      </w:r>
    </w:p>
    <w:p w:rsidR="00697256" w:rsidRPr="008433A6" w:rsidRDefault="00697256" w:rsidP="00697256">
      <w:pPr>
        <w:pStyle w:val="BodyTextIndent3"/>
      </w:pPr>
    </w:p>
    <w:p w:rsidR="00697256" w:rsidRPr="008433A6" w:rsidRDefault="00697256" w:rsidP="00697256">
      <w:pPr>
        <w:pStyle w:val="BodyTextIndent3"/>
      </w:pPr>
      <w:r w:rsidRPr="008433A6">
        <w:t>II. From Sinai to the Plains of Moab (10:11-21:35)</w:t>
      </w:r>
    </w:p>
    <w:p w:rsidR="00697256" w:rsidRPr="008433A6" w:rsidRDefault="00697256" w:rsidP="00697256">
      <w:pPr>
        <w:pStyle w:val="BodyTextIndent3"/>
      </w:pPr>
      <w:r w:rsidRPr="008433A6">
        <w:tab/>
        <w:t>Unrest among the tribes (11:1-15)</w:t>
      </w:r>
    </w:p>
    <w:p w:rsidR="00697256" w:rsidRPr="008433A6" w:rsidRDefault="00697256" w:rsidP="00697256">
      <w:pPr>
        <w:pStyle w:val="BodyTextIndent3"/>
      </w:pPr>
      <w:r w:rsidRPr="008433A6">
        <w:tab/>
        <w:t>The provision of quails (11:16-35)</w:t>
      </w:r>
    </w:p>
    <w:p w:rsidR="00697256" w:rsidRPr="008433A6" w:rsidRDefault="00697256" w:rsidP="00697256">
      <w:pPr>
        <w:pStyle w:val="BodyTextIndent3"/>
      </w:pPr>
      <w:r w:rsidRPr="008433A6">
        <w:tab/>
        <w:t>Miriam’s leprosy (12:1-16)</w:t>
      </w:r>
    </w:p>
    <w:p w:rsidR="00697256" w:rsidRPr="008433A6" w:rsidRDefault="00697256" w:rsidP="00697256">
      <w:pPr>
        <w:pStyle w:val="BodyTextIndent3"/>
      </w:pPr>
      <w:r w:rsidRPr="008433A6">
        <w:tab/>
        <w:t>The twelve spies (13:1-14:45)</w:t>
      </w:r>
    </w:p>
    <w:p w:rsidR="00697256" w:rsidRPr="008433A6" w:rsidRDefault="00697256" w:rsidP="00697256">
      <w:pPr>
        <w:pStyle w:val="BodyTextIndent3"/>
      </w:pPr>
      <w:r w:rsidRPr="008433A6">
        <w:tab/>
      </w:r>
      <w:proofErr w:type="spellStart"/>
      <w:r w:rsidRPr="008433A6">
        <w:t>Korah</w:t>
      </w:r>
      <w:proofErr w:type="spellEnd"/>
      <w:r w:rsidRPr="008433A6">
        <w:t xml:space="preserve">, </w:t>
      </w:r>
      <w:proofErr w:type="spellStart"/>
      <w:r w:rsidRPr="008433A6">
        <w:t>Dathan</w:t>
      </w:r>
      <w:proofErr w:type="spellEnd"/>
      <w:r w:rsidRPr="008433A6">
        <w:t xml:space="preserve">, and </w:t>
      </w:r>
      <w:proofErr w:type="spellStart"/>
      <w:r w:rsidRPr="008433A6">
        <w:t>Abiram</w:t>
      </w:r>
      <w:proofErr w:type="spellEnd"/>
      <w:r w:rsidRPr="008433A6">
        <w:t xml:space="preserve"> (16:1-17:13)</w:t>
      </w:r>
    </w:p>
    <w:p w:rsidR="00697256" w:rsidRPr="008433A6" w:rsidRDefault="00697256" w:rsidP="00697256">
      <w:pPr>
        <w:pStyle w:val="BodyTextIndent3"/>
      </w:pPr>
      <w:r w:rsidRPr="008433A6">
        <w:tab/>
        <w:t xml:space="preserve">Miriam’s death; events at </w:t>
      </w:r>
      <w:proofErr w:type="spellStart"/>
      <w:r w:rsidRPr="008433A6">
        <w:t>Meribah</w:t>
      </w:r>
      <w:proofErr w:type="spellEnd"/>
      <w:r w:rsidRPr="008433A6">
        <w:t xml:space="preserve"> (20:1-13)</w:t>
      </w:r>
    </w:p>
    <w:p w:rsidR="00697256" w:rsidRPr="008433A6" w:rsidRDefault="00697256" w:rsidP="00697256">
      <w:pPr>
        <w:pStyle w:val="BodyTextIndent3"/>
      </w:pPr>
      <w:r w:rsidRPr="008433A6">
        <w:tab/>
        <w:t>Edom’s refusal to let Israel pass;</w:t>
      </w:r>
    </w:p>
    <w:p w:rsidR="00697256" w:rsidRPr="008433A6" w:rsidRDefault="00697256" w:rsidP="00697256">
      <w:pPr>
        <w:pStyle w:val="BodyTextIndent3"/>
      </w:pPr>
      <w:r w:rsidRPr="008433A6">
        <w:tab/>
      </w:r>
      <w:r w:rsidRPr="008433A6">
        <w:tab/>
        <w:t>Aaron’s death (20:14-29)</w:t>
      </w:r>
    </w:p>
    <w:p w:rsidR="00697256" w:rsidRPr="008433A6" w:rsidRDefault="00697256" w:rsidP="00697256">
      <w:pPr>
        <w:pStyle w:val="BodyTextIndent3"/>
      </w:pPr>
    </w:p>
    <w:p w:rsidR="00697256" w:rsidRPr="008433A6" w:rsidRDefault="00697256" w:rsidP="00697256">
      <w:pPr>
        <w:pStyle w:val="BodyTextIndent3"/>
      </w:pPr>
      <w:r w:rsidRPr="008433A6">
        <w:t>III. Events in the Moabite Plains (22-26)</w:t>
      </w:r>
    </w:p>
    <w:p w:rsidR="00697256" w:rsidRPr="008433A6" w:rsidRDefault="00697256" w:rsidP="00697256">
      <w:pPr>
        <w:pStyle w:val="BodyTextIndent3"/>
      </w:pPr>
      <w:r w:rsidRPr="008433A6">
        <w:tab/>
        <w:t>Balaam (22:1-24:25)</w:t>
      </w:r>
    </w:p>
    <w:p w:rsidR="00697256" w:rsidRPr="008433A6" w:rsidRDefault="00697256" w:rsidP="00697256">
      <w:pPr>
        <w:pStyle w:val="BodyTextIndent3"/>
      </w:pPr>
      <w:r w:rsidRPr="008433A6">
        <w:tab/>
        <w:t>The second census (26:1-65)</w:t>
      </w:r>
    </w:p>
    <w:p w:rsidR="00697256" w:rsidRPr="008433A6" w:rsidRDefault="00697256" w:rsidP="00697256">
      <w:pPr>
        <w:pStyle w:val="BodyTextIndent3"/>
      </w:pPr>
      <w:r w:rsidRPr="008433A6">
        <w:tab/>
        <w:t>War against Midian (31:1-54)</w:t>
      </w:r>
    </w:p>
    <w:p w:rsidR="00697256" w:rsidRPr="008433A6" w:rsidRDefault="00697256" w:rsidP="00697256">
      <w:pPr>
        <w:pStyle w:val="BodyTextIndent3"/>
      </w:pPr>
      <w:r w:rsidRPr="008433A6">
        <w:tab/>
        <w:t>Inheritance in Transjordan (32:1-42)</w:t>
      </w:r>
    </w:p>
    <w:p w:rsidR="00152848" w:rsidRDefault="00697256" w:rsidP="00843DC8">
      <w:pPr>
        <w:pStyle w:val="BodyTextIndent3"/>
        <w:tabs>
          <w:tab w:val="left" w:pos="720"/>
        </w:tabs>
        <w:ind w:left="1080" w:hanging="720"/>
      </w:pPr>
      <w:r w:rsidRPr="008433A6">
        <w:tab/>
        <w:t xml:space="preserve">Allotment of territory west of Jordan; appointment of </w:t>
      </w:r>
    </w:p>
    <w:p w:rsidR="00697256" w:rsidRDefault="00152848" w:rsidP="00843DC8">
      <w:pPr>
        <w:pStyle w:val="BodyTextIndent3"/>
        <w:tabs>
          <w:tab w:val="left" w:pos="720"/>
        </w:tabs>
        <w:ind w:left="1080" w:hanging="720"/>
      </w:pPr>
      <w:r>
        <w:tab/>
        <w:t xml:space="preserve">Levitical and refugee cities; </w:t>
      </w:r>
      <w:r w:rsidR="00697256" w:rsidRPr="008433A6">
        <w:t>marriage of heiresses (33:50-36:13)</w:t>
      </w:r>
    </w:p>
    <w:p w:rsidR="00843DC8" w:rsidRPr="008433A6" w:rsidRDefault="00843DC8" w:rsidP="00843DC8">
      <w:pPr>
        <w:pStyle w:val="BodyTextIndent"/>
        <w:pBdr>
          <w:bottom w:val="double" w:sz="6" w:space="1" w:color="auto"/>
        </w:pBdr>
        <w:ind w:left="720"/>
        <w:rPr>
          <w:rFonts w:ascii="Times New Roman" w:hAnsi="Times New Roman"/>
        </w:rPr>
      </w:pPr>
    </w:p>
    <w:p w:rsidR="00843DC8" w:rsidRDefault="00843DC8" w:rsidP="00843DC8">
      <w:pPr>
        <w:jc w:val="center"/>
        <w:rPr>
          <w:b/>
        </w:rPr>
      </w:pPr>
    </w:p>
    <w:p w:rsidR="00843DC8" w:rsidRDefault="00843DC8" w:rsidP="00E34A30">
      <w:pPr>
        <w:jc w:val="center"/>
        <w:rPr>
          <w:b/>
        </w:rPr>
      </w:pPr>
      <w:r>
        <w:rPr>
          <w:b/>
        </w:rPr>
        <w:t>Central Messages of Numbers</w:t>
      </w:r>
    </w:p>
    <w:p w:rsidR="00843DC8" w:rsidRDefault="00843DC8" w:rsidP="00843DC8">
      <w:r w:rsidRPr="00843DC8">
        <w:t>The purpose of Numbers is to contrast the faithfulness of god with the faithlessness and rebellion of the Israelites. The former is seen in God’s keeping of his covenant promise to make Israel a numerous people. The latter is attested by the record of Israel’s grumbling about their living conditions, rebellion against God’s leadership, and refusal to enter the land.</w:t>
      </w:r>
      <w:r>
        <w:t xml:space="preserve"> </w:t>
      </w:r>
      <w:r w:rsidRPr="00843DC8">
        <w:t>Numbers outlines a steadfast refusal of Israel to achieve their call to holiness</w:t>
      </w:r>
      <w:r>
        <w:t xml:space="preserve"> coupled with God’s </w:t>
      </w:r>
      <w:r w:rsidRPr="00843DC8">
        <w:t>mercy to preserve the nation and to provide a future generation with the opportunity to choose life.</w:t>
      </w:r>
    </w:p>
    <w:p w:rsidR="00843DC8" w:rsidRPr="00843DC8" w:rsidRDefault="00843DC8" w:rsidP="00843DC8"/>
    <w:p w:rsidR="00843DC8" w:rsidRDefault="00843DC8" w:rsidP="00843DC8">
      <w:r>
        <w:t>The book emphasizes:</w:t>
      </w:r>
    </w:p>
    <w:p w:rsidR="00843DC8" w:rsidRDefault="00843DC8" w:rsidP="00843DC8">
      <w:pPr>
        <w:pStyle w:val="ListParagraph"/>
        <w:numPr>
          <w:ilvl w:val="0"/>
          <w:numId w:val="1"/>
        </w:numPr>
      </w:pPr>
      <w:r>
        <w:t>The holiness of God</w:t>
      </w:r>
    </w:p>
    <w:p w:rsidR="00843DC8" w:rsidRDefault="00843DC8" w:rsidP="00843DC8">
      <w:pPr>
        <w:pStyle w:val="ListParagraph"/>
        <w:numPr>
          <w:ilvl w:val="0"/>
          <w:numId w:val="1"/>
        </w:numPr>
      </w:pPr>
      <w:r>
        <w:t>The sinfulness of humanity</w:t>
      </w:r>
    </w:p>
    <w:p w:rsidR="00843DC8" w:rsidRDefault="00843DC8" w:rsidP="00843DC8">
      <w:pPr>
        <w:pStyle w:val="ListParagraph"/>
        <w:numPr>
          <w:ilvl w:val="0"/>
          <w:numId w:val="1"/>
        </w:numPr>
      </w:pPr>
      <w:r>
        <w:t>The necessity of obedience to Yahweh</w:t>
      </w:r>
    </w:p>
    <w:p w:rsidR="00843DC8" w:rsidRDefault="00843DC8" w:rsidP="00843DC8">
      <w:pPr>
        <w:pStyle w:val="ListParagraph"/>
        <w:numPr>
          <w:ilvl w:val="0"/>
          <w:numId w:val="1"/>
        </w:numPr>
      </w:pPr>
      <w:r>
        <w:t>The tragedy of disobedience to Yahweh’s commands</w:t>
      </w:r>
    </w:p>
    <w:p w:rsidR="00843DC8" w:rsidRPr="00843DC8" w:rsidRDefault="00843DC8" w:rsidP="00843DC8">
      <w:pPr>
        <w:pStyle w:val="ListParagraph"/>
        <w:numPr>
          <w:ilvl w:val="0"/>
          <w:numId w:val="1"/>
        </w:numPr>
      </w:pPr>
      <w:r>
        <w:t>The utter faithfulness to God to his covenant agreement with Israel</w:t>
      </w:r>
    </w:p>
    <w:p w:rsidR="00843DC8" w:rsidRPr="008433A6" w:rsidRDefault="00843DC8" w:rsidP="00843DC8">
      <w:pPr>
        <w:pStyle w:val="BodyTextIndent"/>
        <w:pBdr>
          <w:bottom w:val="double" w:sz="6" w:space="1" w:color="auto"/>
        </w:pBdr>
        <w:ind w:left="0" w:firstLine="0"/>
        <w:rPr>
          <w:rFonts w:ascii="Times New Roman" w:hAnsi="Times New Roman"/>
        </w:rPr>
      </w:pPr>
    </w:p>
    <w:p w:rsidR="00697256" w:rsidRDefault="00697256" w:rsidP="00697256">
      <w:pPr>
        <w:jc w:val="center"/>
        <w:rPr>
          <w:b/>
        </w:rPr>
      </w:pPr>
    </w:p>
    <w:p w:rsidR="00697256" w:rsidRPr="00E34A30" w:rsidRDefault="00697256" w:rsidP="00E34A30">
      <w:pPr>
        <w:jc w:val="center"/>
        <w:rPr>
          <w:b/>
        </w:rPr>
      </w:pPr>
      <w:r w:rsidRPr="008433A6">
        <w:rPr>
          <w:b/>
        </w:rPr>
        <w:t>Large Numbers in the Bible</w:t>
      </w:r>
    </w:p>
    <w:p w:rsidR="00697256" w:rsidRPr="008433A6" w:rsidRDefault="00697256" w:rsidP="00697256">
      <w:pPr>
        <w:ind w:firstLine="360"/>
      </w:pPr>
      <w:r w:rsidRPr="008433A6">
        <w:t>According to the Bible, there were 603,550 Israelite males, aged twenty and older, in the Israelite camp at Mount Sinai, not including males descended from Levi (</w:t>
      </w:r>
      <w:proofErr w:type="spellStart"/>
      <w:r w:rsidRPr="008433A6">
        <w:t>Num</w:t>
      </w:r>
      <w:proofErr w:type="spellEnd"/>
      <w:r w:rsidRPr="008433A6">
        <w:t xml:space="preserve"> 1:46).  This number correlates with the figure given in Exodus 12:37, which reports “about six hundred thousand on foot that were [fighting] men.”  Add to this number the 22,000 Levite males of all ages (</w:t>
      </w:r>
      <w:proofErr w:type="spellStart"/>
      <w:r w:rsidRPr="008433A6">
        <w:t>Num</w:t>
      </w:r>
      <w:proofErr w:type="spellEnd"/>
      <w:r w:rsidRPr="008433A6">
        <w:t xml:space="preserve"> 3:39), plus the females of all ages and the male children under twenty years of age, and the estimated total Israelite population was about three million people.  Many people have long been skeptical of the large numbers of Israelites reported in Exodus, Numbers, and other books of the Old Testament.  Some people dismiss them as mere exaggeration, some seek to explain them, and some accept them at face value, presuming God could sustain as many people in the wilderness as he wanted. </w:t>
      </w:r>
    </w:p>
    <w:p w:rsidR="00697256" w:rsidRPr="008433A6" w:rsidRDefault="00697256" w:rsidP="00697256">
      <w:pPr>
        <w:ind w:firstLine="360"/>
      </w:pPr>
      <w:r w:rsidRPr="008433A6">
        <w:t xml:space="preserve">One of several concerns expressed about the very large number of Israelites mentioned in Exodus and Numbers is that with a fighting force of more than 600,000 men, the Israelites would have had the largest army in the ancient Near East at that time, by a multiple of fifteen to twenty.  The Hittites, for example, one of the ancient Near Eastern powers during the thirteenth century BC, fought the Egyptians to a near draw at the battle of </w:t>
      </w:r>
      <w:proofErr w:type="spellStart"/>
      <w:r w:rsidRPr="008433A6">
        <w:t>Qadesh</w:t>
      </w:r>
      <w:proofErr w:type="spellEnd"/>
      <w:r w:rsidRPr="008433A6">
        <w:t xml:space="preserve"> in Syria (1274 BC), claiming to have had an army of 37,000 men.  Scholars have estimated the size of the Egyptian army at about 25,000 in this time period.  If the Israelites really had had more than 600,000 fighting men, there would have been no reason for them to fearfully flee from Pharaoh (although they lacked military equipment). </w:t>
      </w:r>
    </w:p>
    <w:p w:rsidR="00697256" w:rsidRPr="008433A6" w:rsidRDefault="00697256" w:rsidP="00697256">
      <w:pPr>
        <w:ind w:firstLine="360"/>
      </w:pPr>
      <w:r w:rsidRPr="008433A6">
        <w:t xml:space="preserve">Another issue involves the logistical challenges of “shepherding” a population of three million people traveling on foot in the Sinai wilderness.  How many thousands of animals would they have had?  How many dozens of miles long would their camp have been?  How much water and provisions would they have consumed daily?  (The manna certainly helped!)  And how slowly would such a group have moved along?  Furthermore, the overwhelming size of the Israelite population as they entered the land of Canaan is simply not borne out by the biblical accounts of their fears and occasional military defeats, nor by available archaeological evidence. </w:t>
      </w:r>
    </w:p>
    <w:p w:rsidR="00697256" w:rsidRPr="008433A6" w:rsidRDefault="00697256" w:rsidP="00697256">
      <w:pPr>
        <w:ind w:firstLine="360"/>
      </w:pPr>
      <w:r w:rsidRPr="008433A6">
        <w:t xml:space="preserve">Many solutions to this challenge of a high population count have been suggested, some more plausible than others.  Three are briefly mentioned here.  One is that mistakes have crept into the text as it was copied throughout the centuries.  While such mistakes may have occasionally happened, this does not systematically explain every oversized number in the Bible. </w:t>
      </w:r>
    </w:p>
    <w:p w:rsidR="00697256" w:rsidRPr="008433A6" w:rsidRDefault="00697256" w:rsidP="00697256">
      <w:pPr>
        <w:ind w:firstLine="360"/>
      </w:pPr>
      <w:r w:rsidRPr="008433A6">
        <w:t xml:space="preserve">Another suggestion is that scribes consciously inflated the original numbers of people, not necessarily to deceive but to demonstrate the power of Israel and their God, since it was ultimately God’s power that brought victory (perhaps see 1 </w:t>
      </w:r>
      <w:proofErr w:type="spellStart"/>
      <w:r w:rsidRPr="008433A6">
        <w:t>Chr</w:t>
      </w:r>
      <w:proofErr w:type="spellEnd"/>
      <w:r w:rsidRPr="008433A6">
        <w:t xml:space="preserve"> 19:18 [7,000 chariots] compared to 2 Sam 10:18 [700 chariots]).  One proposed analogy, from centuries later but not unique, occurs in the annals of Assyrian king </w:t>
      </w:r>
      <w:proofErr w:type="spellStart"/>
      <w:r w:rsidRPr="008433A6">
        <w:t>Shalmaneser</w:t>
      </w:r>
      <w:proofErr w:type="spellEnd"/>
      <w:r w:rsidRPr="008433A6">
        <w:t xml:space="preserve"> III (858–824 BC).  The number of enemy soldiers killed at the battle of </w:t>
      </w:r>
      <w:proofErr w:type="spellStart"/>
      <w:r w:rsidRPr="008433A6">
        <w:t>Qarqar</w:t>
      </w:r>
      <w:proofErr w:type="spellEnd"/>
      <w:r w:rsidRPr="008433A6">
        <w:t xml:space="preserve"> (853 BC) by Assyria forces increases in size from 14,000 in the earliest edition to 29,000 in the latest one. </w:t>
      </w:r>
    </w:p>
    <w:p w:rsidR="00697256" w:rsidRPr="008433A6" w:rsidRDefault="00697256" w:rsidP="00697256">
      <w:pPr>
        <w:ind w:firstLine="360"/>
      </w:pPr>
      <w:r w:rsidRPr="008433A6">
        <w:t xml:space="preserve">The most common explanation for the large numbers of Israelites in the Bible is that modern readers misinterpret the text.  All these numbers appear in the Masoretic Text as words, not numerals (e.g., “fifteen,” not “15”).  The Hebrew word translated as “thousand” is </w:t>
      </w:r>
      <w:r w:rsidRPr="008433A6">
        <w:rPr>
          <w:i/>
        </w:rPr>
        <w:t>’</w:t>
      </w:r>
      <w:proofErr w:type="spellStart"/>
      <w:r w:rsidRPr="008433A6">
        <w:rPr>
          <w:i/>
        </w:rPr>
        <w:t>elep</w:t>
      </w:r>
      <w:proofErr w:type="spellEnd"/>
      <w:r w:rsidRPr="008433A6">
        <w:t>.  It is generally accepted that a homonym means “clan, military group,” and could have designated in earlier times a military company of no specific size.  So a statement such as “those that were numbered of … the tribe of Reuben, were forty and six thousand [</w:t>
      </w:r>
      <w:r w:rsidRPr="008433A6">
        <w:rPr>
          <w:i/>
        </w:rPr>
        <w:t>’</w:t>
      </w:r>
      <w:proofErr w:type="spellStart"/>
      <w:r w:rsidRPr="008433A6">
        <w:rPr>
          <w:i/>
        </w:rPr>
        <w:t>elep</w:t>
      </w:r>
      <w:proofErr w:type="spellEnd"/>
      <w:r w:rsidRPr="008433A6">
        <w:t>] and five hundred” (</w:t>
      </w:r>
      <w:proofErr w:type="spellStart"/>
      <w:r w:rsidRPr="008433A6">
        <w:t>Num</w:t>
      </w:r>
      <w:proofErr w:type="spellEnd"/>
      <w:r w:rsidRPr="008433A6">
        <w:t xml:space="preserve"> </w:t>
      </w:r>
      <w:r w:rsidRPr="008433A6">
        <w:lastRenderedPageBreak/>
        <w:t>1:21) may have originally been intended to mean forty-six companies or clans [</w:t>
      </w:r>
      <w:r w:rsidRPr="008433A6">
        <w:rPr>
          <w:i/>
        </w:rPr>
        <w:t>’</w:t>
      </w:r>
      <w:proofErr w:type="spellStart"/>
      <w:r w:rsidRPr="008433A6">
        <w:rPr>
          <w:i/>
        </w:rPr>
        <w:t>elep</w:t>
      </w:r>
      <w:proofErr w:type="spellEnd"/>
      <w:r w:rsidRPr="008433A6">
        <w:t xml:space="preserve">], totaling five hundred men.  So calculated, the total number of fighting men listed in Numbers 1 would diminish from 603,550 to about 18,000.  If this were the case, the size of the whole camp of Israel was probably about 60,000 to 70,000 people.  This is still a large group of people to be moving through the wilderness, but it fits better with the biblical and historical context, bringing the depiction of the Israelites into harmony with what we know from other ancient Near Eastern sources about the size of armies and populations during the time of Moses and Joshua. </w:t>
      </w:r>
    </w:p>
    <w:p w:rsidR="00697256" w:rsidRPr="008433A6" w:rsidRDefault="00697256" w:rsidP="00F541D7">
      <w:pPr>
        <w:ind w:firstLine="360"/>
      </w:pPr>
      <w:r w:rsidRPr="008433A6">
        <w:t xml:space="preserve">Extremely large numbers are not limited to Exodus and Numbers.  Similar examples occur in Joshua 8, 2 Samuel 24, and elsewhere.  Of course, in any given biblical passage a combination of reasons, not just one, may lie behind a very large number.  We cannot be sure without corroborating evidence.  None of this, however, limits the power of God to accomplish his purposes. </w:t>
      </w:r>
    </w:p>
    <w:p w:rsidR="00697256" w:rsidRPr="00697256" w:rsidRDefault="00697256" w:rsidP="00697256">
      <w:pPr>
        <w:jc w:val="right"/>
        <w:rPr>
          <w:sz w:val="20"/>
        </w:rPr>
      </w:pPr>
      <w:proofErr w:type="spellStart"/>
      <w:r w:rsidRPr="008433A6">
        <w:rPr>
          <w:sz w:val="20"/>
        </w:rPr>
        <w:t>Holzapfel</w:t>
      </w:r>
      <w:proofErr w:type="spellEnd"/>
      <w:r w:rsidRPr="008433A6">
        <w:rPr>
          <w:sz w:val="20"/>
        </w:rPr>
        <w:t xml:space="preserve">, Pike, and </w:t>
      </w:r>
      <w:proofErr w:type="spellStart"/>
      <w:r w:rsidRPr="008433A6">
        <w:rPr>
          <w:sz w:val="20"/>
        </w:rPr>
        <w:t>Seely</w:t>
      </w:r>
      <w:proofErr w:type="spellEnd"/>
      <w:r w:rsidRPr="008433A6">
        <w:rPr>
          <w:sz w:val="20"/>
        </w:rPr>
        <w:t xml:space="preserve">, </w:t>
      </w:r>
      <w:r w:rsidRPr="008433A6">
        <w:rPr>
          <w:i/>
          <w:sz w:val="20"/>
        </w:rPr>
        <w:t>Jehovah and the World of the Old Testament</w:t>
      </w:r>
      <w:r w:rsidRPr="008433A6">
        <w:rPr>
          <w:sz w:val="20"/>
        </w:rPr>
        <w:t xml:space="preserve"> (2009), 126.</w:t>
      </w:r>
    </w:p>
    <w:p w:rsidR="000A7052" w:rsidRPr="008433A6" w:rsidRDefault="000A7052" w:rsidP="000A7052">
      <w:pPr>
        <w:pStyle w:val="BodyTextIndent3"/>
        <w:pBdr>
          <w:bottom w:val="double" w:sz="6" w:space="1" w:color="auto"/>
        </w:pBdr>
        <w:ind w:left="0" w:firstLine="0"/>
      </w:pPr>
    </w:p>
    <w:p w:rsidR="000A7052" w:rsidRPr="008433A6" w:rsidRDefault="000A7052" w:rsidP="000A7052">
      <w:pPr>
        <w:pStyle w:val="BodyTextIndent3"/>
        <w:ind w:left="0" w:firstLine="0"/>
      </w:pPr>
    </w:p>
    <w:p w:rsidR="000A7052" w:rsidRDefault="000A7052" w:rsidP="00E34A30">
      <w:pPr>
        <w:jc w:val="center"/>
        <w:rPr>
          <w:b/>
        </w:rPr>
      </w:pPr>
      <w:r>
        <w:rPr>
          <w:b/>
        </w:rPr>
        <w:t>Miriam and Aaron Speaking against Moses</w:t>
      </w:r>
    </w:p>
    <w:p w:rsidR="000A7052" w:rsidRPr="000A7052" w:rsidRDefault="000A7052" w:rsidP="00F541D7">
      <w:pPr>
        <w:ind w:firstLine="360"/>
      </w:pPr>
      <w:r w:rsidRPr="000A7052">
        <w:t xml:space="preserve">Numbers 12:1 indicates that part of Miriam’s and Aaron’s motivation in speaking against Moses was ‘because of the Ethiopian woman whom he had married.’ The Hebrew word translated ‘Ethiopian’ in the KJV is </w:t>
      </w:r>
      <w:proofErr w:type="spellStart"/>
      <w:r w:rsidRPr="000A7052">
        <w:rPr>
          <w:i/>
        </w:rPr>
        <w:t>kushiyt</w:t>
      </w:r>
      <w:proofErr w:type="spellEnd"/>
      <w:r w:rsidRPr="000A7052">
        <w:t xml:space="preserve">, “Cushite” (or “Kushite”), a biblical designation for ancient Nubia (modern Sudan, south of Egypt; not modern Ethiopia). Commentators are divided over whether to read this text as written, implying that Moses had a wife in addition to Zipporah the Midianite (perhaps from his earlier time in Egypt), or whether to read </w:t>
      </w:r>
      <w:proofErr w:type="spellStart"/>
      <w:r w:rsidRPr="000A7052">
        <w:rPr>
          <w:i/>
        </w:rPr>
        <w:t>kushiyt</w:t>
      </w:r>
      <w:proofErr w:type="spellEnd"/>
      <w:r w:rsidRPr="000A7052">
        <w:rPr>
          <w:i/>
        </w:rPr>
        <w:t xml:space="preserve"> </w:t>
      </w:r>
      <w:r w:rsidRPr="000A7052">
        <w:t xml:space="preserve">as a corruption of </w:t>
      </w:r>
      <w:proofErr w:type="spellStart"/>
      <w:r w:rsidRPr="000A7052">
        <w:rPr>
          <w:i/>
        </w:rPr>
        <w:t>Kushaniyt</w:t>
      </w:r>
      <w:proofErr w:type="spellEnd"/>
      <w:r w:rsidRPr="000A7052">
        <w:t xml:space="preserve">, “the </w:t>
      </w:r>
      <w:proofErr w:type="spellStart"/>
      <w:r w:rsidRPr="000A7052">
        <w:t>Cushanite</w:t>
      </w:r>
      <w:proofErr w:type="spellEnd"/>
      <w:r w:rsidRPr="000A7052">
        <w:t xml:space="preserve">.” The Hebrew term </w:t>
      </w:r>
      <w:proofErr w:type="spellStart"/>
      <w:r w:rsidRPr="000A7052">
        <w:rPr>
          <w:i/>
        </w:rPr>
        <w:t>kushan</w:t>
      </w:r>
      <w:proofErr w:type="spellEnd"/>
      <w:r w:rsidRPr="000A7052">
        <w:rPr>
          <w:i/>
        </w:rPr>
        <w:t xml:space="preserve"> </w:t>
      </w:r>
      <w:r w:rsidRPr="000A7052">
        <w:t xml:space="preserve">occurs only in Habakkuk 3:7, where it is used in parallel with Midian. This hypothetical reading implies that Zipporah was Moses’ only wife, usually identified as a Midianite, but here connected with </w:t>
      </w:r>
      <w:proofErr w:type="spellStart"/>
      <w:r w:rsidRPr="000A7052">
        <w:t>Cushan</w:t>
      </w:r>
      <w:proofErr w:type="spellEnd"/>
      <w:r w:rsidRPr="000A7052">
        <w:t>. Based on the very limited information in the Bible, certainty on</w:t>
      </w:r>
      <w:r>
        <w:t xml:space="preserve"> this question is not possible.</w:t>
      </w:r>
    </w:p>
    <w:p w:rsidR="000A7052" w:rsidRPr="000A7052" w:rsidRDefault="000A7052" w:rsidP="000A7052">
      <w:pPr>
        <w:jc w:val="right"/>
        <w:rPr>
          <w:sz w:val="20"/>
        </w:rPr>
      </w:pPr>
      <w:proofErr w:type="spellStart"/>
      <w:r w:rsidRPr="000A7052">
        <w:rPr>
          <w:sz w:val="20"/>
        </w:rPr>
        <w:t>Holzapfel</w:t>
      </w:r>
      <w:proofErr w:type="spellEnd"/>
      <w:r w:rsidRPr="000A7052">
        <w:rPr>
          <w:sz w:val="20"/>
        </w:rPr>
        <w:t xml:space="preserve">, Pike, and </w:t>
      </w:r>
      <w:proofErr w:type="spellStart"/>
      <w:r w:rsidRPr="000A7052">
        <w:rPr>
          <w:sz w:val="20"/>
        </w:rPr>
        <w:t>Seely</w:t>
      </w:r>
      <w:proofErr w:type="spellEnd"/>
      <w:r w:rsidRPr="000A7052">
        <w:rPr>
          <w:sz w:val="20"/>
        </w:rPr>
        <w:t xml:space="preserve">, </w:t>
      </w:r>
      <w:r w:rsidRPr="000A7052">
        <w:rPr>
          <w:i/>
          <w:sz w:val="20"/>
        </w:rPr>
        <w:t>Jehovah and the World of the Old Testament</w:t>
      </w:r>
      <w:r w:rsidRPr="000A7052">
        <w:rPr>
          <w:sz w:val="20"/>
        </w:rPr>
        <w:t xml:space="preserve"> (2009), 128.</w:t>
      </w:r>
    </w:p>
    <w:p w:rsidR="000A7052" w:rsidRDefault="000A7052" w:rsidP="000A7052"/>
    <w:p w:rsidR="00E34A30" w:rsidRPr="000A7052" w:rsidRDefault="00E34A30" w:rsidP="000A7052"/>
    <w:p w:rsidR="000A7052" w:rsidRPr="00E34A30" w:rsidRDefault="000A7052" w:rsidP="00E34A30">
      <w:pPr>
        <w:jc w:val="center"/>
        <w:rPr>
          <w:b/>
        </w:rPr>
      </w:pPr>
      <w:r w:rsidRPr="000A7052">
        <w:rPr>
          <w:b/>
        </w:rPr>
        <w:t>Why is Aaron not punished along with Miriam?</w:t>
      </w:r>
    </w:p>
    <w:p w:rsidR="000A7052" w:rsidRDefault="000A7052" w:rsidP="000A7052">
      <w:pPr>
        <w:ind w:firstLine="360"/>
      </w:pPr>
      <w:r w:rsidRPr="000A7052">
        <w:t>As the main priest, Aaron offered sacrifice on behalf of Israel. The punishment of leprosy would preclude his priestly duties and render Israel even more vulnerable to God’s judgment and punishment. There is also the nature of leprosy itself. The traditional understanding of leprosy in the Old Testament as Hansen’s disease is incorrect. Archaeological evidence does not attest to the presence of this sort of leprosy in the Middle East before the time of Alexander’s return from India, in the late fourth century BC. Instead, this leprosy is best understood as a form of psoriasis. Thus Miriam has this temporary condition. Why does this require her exclusion from the camp? The answer lies in the holiness of God, who cannot tolerate death or even signs of death. Psoriasis looks like dead skin (and often is). Its connection with this symbol of death renders the victim unclean and requires removal from the camp. Thus the punishment is temporary. Further, Miriam may have led her brother Aaron in this protest. Numbers 12:1 mentions her first as acting subject and then Aaron second. The verb, ‘speak (against),’ is a feminine singu</w:t>
      </w:r>
      <w:r>
        <w:t>lar highlighting Miriam’s role.</w:t>
      </w:r>
    </w:p>
    <w:p w:rsidR="000A7052" w:rsidRPr="00F541D7" w:rsidRDefault="00F541D7" w:rsidP="00F541D7">
      <w:pPr>
        <w:jc w:val="right"/>
        <w:rPr>
          <w:sz w:val="20"/>
        </w:rPr>
      </w:pPr>
      <w:r w:rsidRPr="00F541D7">
        <w:rPr>
          <w:sz w:val="20"/>
        </w:rPr>
        <w:t xml:space="preserve">Richard S. Hess, </w:t>
      </w:r>
      <w:proofErr w:type="gramStart"/>
      <w:r w:rsidRPr="00F541D7">
        <w:rPr>
          <w:sz w:val="20"/>
        </w:rPr>
        <w:t>The</w:t>
      </w:r>
      <w:proofErr w:type="gramEnd"/>
      <w:r w:rsidRPr="00F541D7">
        <w:rPr>
          <w:sz w:val="20"/>
        </w:rPr>
        <w:t xml:space="preserve"> Old Testament, 113</w:t>
      </w:r>
    </w:p>
    <w:p w:rsidR="00697256" w:rsidRPr="008433A6" w:rsidRDefault="00697256" w:rsidP="00697256">
      <w:pPr>
        <w:pStyle w:val="BodyTextIndent3"/>
        <w:pBdr>
          <w:bottom w:val="double" w:sz="6" w:space="1" w:color="auto"/>
        </w:pBdr>
        <w:ind w:left="0" w:firstLine="0"/>
      </w:pPr>
    </w:p>
    <w:p w:rsidR="00697256" w:rsidRPr="008433A6" w:rsidRDefault="00697256" w:rsidP="00697256">
      <w:pPr>
        <w:pStyle w:val="BodyTextIndent3"/>
        <w:ind w:left="0" w:firstLine="0"/>
      </w:pPr>
    </w:p>
    <w:p w:rsidR="00697256" w:rsidRPr="008433A6" w:rsidRDefault="00697256" w:rsidP="00E34A30">
      <w:pPr>
        <w:jc w:val="center"/>
      </w:pPr>
      <w:r w:rsidRPr="008433A6">
        <w:rPr>
          <w:b/>
        </w:rPr>
        <w:lastRenderedPageBreak/>
        <w:t xml:space="preserve">Nazirite </w:t>
      </w:r>
      <w:r w:rsidRPr="008433A6">
        <w:t>(“consecrated person”)</w:t>
      </w:r>
    </w:p>
    <w:p w:rsidR="00697256" w:rsidRPr="008433A6" w:rsidRDefault="00697256" w:rsidP="00697256">
      <w:pPr>
        <w:ind w:firstLine="360"/>
      </w:pPr>
      <w:r w:rsidRPr="008433A6">
        <w:t xml:space="preserve">Men or women who consecrated themselves to God for a specific time by a special vow (Num. 6:1-21).  During the period of consecration, Nazirites had to abstain from alcoholic drink and leave their hair uncut.  Their special status as “holy to the Lord” also required that they be especially careful to avoid contact with a corpse even if a member of their family died during the time their vow was in force (Num. 6:6-7).  Both deliberate and accidental contact with a corpse nullified the time served in compliance with the vow.  Special sacrifices had to be offered and the period of consecration begun anew (Num. 6:9-12).  After the completion of the vow, special offerings had to be made including the cutting of the hair and burning it with an offering for well-being (Num. 6:13-20).  The exacting regulations that circumscribed the period of Nazirite service underscore the seriousness of this state. </w:t>
      </w:r>
    </w:p>
    <w:p w:rsidR="00697256" w:rsidRPr="008433A6" w:rsidRDefault="00697256" w:rsidP="00697256">
      <w:pPr>
        <w:ind w:firstLine="360"/>
      </w:pPr>
      <w:r w:rsidRPr="008433A6">
        <w:t xml:space="preserve">The law in Numbers implies that living as a Nazirite was a matter of personal choice.  In other OT texts this is not as clear.  Samson was consecrated as a Nazirite while still in his mother’s womb (Judg. 13:4-14), and Samuel’s mother made the consecration for him (1 Sam. 1:11).  …  This practice continued into the 1st century </w:t>
      </w:r>
      <w:proofErr w:type="spellStart"/>
      <w:r w:rsidRPr="008433A6">
        <w:t>a.d.</w:t>
      </w:r>
      <w:proofErr w:type="spellEnd"/>
      <w:r w:rsidRPr="008433A6">
        <w:t xml:space="preserve">  Acts 18:18; 21:20-26 imply that Paul participated in the rituals connected with the conclusion of Nazirite observance.  Matt. 2:23 may allude to the Nazirite status and may imply that Jesus, like Samson and Samuel, was a consecrated person. </w:t>
      </w:r>
    </w:p>
    <w:p w:rsidR="00697256" w:rsidRPr="008433A6" w:rsidRDefault="00697256" w:rsidP="00697256">
      <w:pPr>
        <w:ind w:firstLine="360"/>
      </w:pPr>
      <w:r w:rsidRPr="008433A6">
        <w:t xml:space="preserve">The Bible does not explicitly state the reasons for becoming a Nazirite. …  The reason for allowing the hair to grow without cutting is unclear.  Other religious traditions entail specific renunciations and the following of certain disciplines for those who seek a </w:t>
      </w:r>
      <w:proofErr w:type="gramStart"/>
      <w:r w:rsidRPr="008433A6">
        <w:t>specially</w:t>
      </w:r>
      <w:proofErr w:type="gramEnd"/>
      <w:r w:rsidRPr="008433A6">
        <w:t xml:space="preserve"> close relationship with God.  The Nazirite vow may be an ancient Israelite example of this pattern. </w:t>
      </w:r>
    </w:p>
    <w:p w:rsidR="00697256" w:rsidRPr="008433A6" w:rsidRDefault="00697256" w:rsidP="00697256">
      <w:pPr>
        <w:pStyle w:val="BodyTextIndent3"/>
        <w:ind w:left="0" w:firstLine="0"/>
      </w:pPr>
    </w:p>
    <w:p w:rsidR="00697256" w:rsidRPr="00697256" w:rsidRDefault="00697256" w:rsidP="00697256">
      <w:pPr>
        <w:jc w:val="right"/>
        <w:rPr>
          <w:sz w:val="20"/>
        </w:rPr>
      </w:pPr>
      <w:r w:rsidRPr="008433A6">
        <w:rPr>
          <w:i/>
          <w:sz w:val="20"/>
        </w:rPr>
        <w:t>Eerdmans Bible Dictionary</w:t>
      </w:r>
      <w:r w:rsidRPr="008433A6">
        <w:rPr>
          <w:sz w:val="20"/>
        </w:rPr>
        <w:t xml:space="preserve"> (2000), s. v., “Nazirite”</w:t>
      </w:r>
    </w:p>
    <w:p w:rsidR="004B6A2C" w:rsidRPr="008433A6" w:rsidRDefault="004B6A2C" w:rsidP="004B6A2C">
      <w:pPr>
        <w:pBdr>
          <w:bottom w:val="double" w:sz="6" w:space="1" w:color="auto"/>
        </w:pBdr>
      </w:pPr>
    </w:p>
    <w:p w:rsidR="004B6A2C" w:rsidRPr="008433A6" w:rsidRDefault="004B6A2C" w:rsidP="004B6A2C"/>
    <w:p w:rsidR="004B6A2C" w:rsidRPr="00E34A30" w:rsidRDefault="004B6A2C" w:rsidP="00E34A30">
      <w:pPr>
        <w:jc w:val="center"/>
        <w:rPr>
          <w:b/>
        </w:rPr>
      </w:pPr>
      <w:r w:rsidRPr="008433A6">
        <w:rPr>
          <w:b/>
        </w:rPr>
        <w:t>Levitical Cities of Refuge</w:t>
      </w:r>
    </w:p>
    <w:p w:rsidR="004B6A2C" w:rsidRPr="008433A6" w:rsidRDefault="004B6A2C" w:rsidP="004B6A2C">
      <w:pPr>
        <w:widowControl w:val="0"/>
        <w:autoSpaceDE w:val="0"/>
        <w:autoSpaceDN w:val="0"/>
        <w:adjustRightInd w:val="0"/>
        <w:ind w:firstLine="360"/>
        <w:rPr>
          <w:rFonts w:cs="HoeflerText-Roman"/>
          <w:szCs w:val="21"/>
        </w:rPr>
      </w:pPr>
      <w:r w:rsidRPr="008433A6">
        <w:rPr>
          <w:rFonts w:cs="HoeflerText-Roman"/>
          <w:szCs w:val="21"/>
        </w:rPr>
        <w:t xml:space="preserve">Joshua 15–19 outline the division of the countryside among the tribes. …  The Israelites then needed to go and actually possess the land and settle in it. </w:t>
      </w:r>
    </w:p>
    <w:p w:rsidR="004B6A2C" w:rsidRPr="008433A6" w:rsidRDefault="004B6A2C" w:rsidP="00E34A30">
      <w:pPr>
        <w:widowControl w:val="0"/>
        <w:autoSpaceDE w:val="0"/>
        <w:autoSpaceDN w:val="0"/>
        <w:adjustRightInd w:val="0"/>
        <w:ind w:firstLine="360"/>
        <w:rPr>
          <w:rFonts w:cs="HoeflerText-Roman"/>
          <w:szCs w:val="21"/>
        </w:rPr>
      </w:pPr>
      <w:r w:rsidRPr="008433A6">
        <w:rPr>
          <w:rFonts w:cs="HoeflerText-Roman"/>
          <w:szCs w:val="21"/>
        </w:rPr>
        <w:t xml:space="preserve">An important provision in the settlement process was the designation of six cities, three on either side of the Jordan River, as the cities of refuge (Josh 20; see also </w:t>
      </w:r>
      <w:proofErr w:type="spellStart"/>
      <w:r w:rsidRPr="008433A6">
        <w:rPr>
          <w:rFonts w:cs="HoeflerText-Roman"/>
          <w:szCs w:val="21"/>
        </w:rPr>
        <w:t>Deut</w:t>
      </w:r>
      <w:proofErr w:type="spellEnd"/>
      <w:r w:rsidRPr="008433A6">
        <w:rPr>
          <w:rFonts w:cs="HoeflerText-Roman"/>
          <w:szCs w:val="21"/>
        </w:rPr>
        <w:t xml:space="preserve"> 4:41–43; 19:1–13).  These six cities were among the forty-eight cities given to the Levites ( Josh 21) and they functioned as places of asylum for people who committed unintentional homicide, protecting them from the “avenger of blood” ( Josh 20:5).  When someone was known to have killed a person, a blood avenger, usually a male family member of the deceased, was charged with killing the guilty party to avenge the blood of the deceased.  In cases of unintentional homicide (involuntary manslaughter), cities of refuge provided a safe haven from overzealous blood avengers and a process through which the accused could eventually safely return home.  This practice thus limited blood vengeance under certain circumstances.</w:t>
      </w:r>
      <w:r>
        <w:rPr>
          <w:rFonts w:cs="HoeflerText-Roman"/>
          <w:szCs w:val="21"/>
        </w:rPr>
        <w:t xml:space="preserve"> </w:t>
      </w:r>
    </w:p>
    <w:p w:rsidR="004B6A2C" w:rsidRPr="008433A6" w:rsidRDefault="004B6A2C" w:rsidP="004B6A2C">
      <w:pPr>
        <w:jc w:val="right"/>
        <w:rPr>
          <w:sz w:val="20"/>
        </w:rPr>
      </w:pPr>
      <w:proofErr w:type="spellStart"/>
      <w:r w:rsidRPr="008433A6">
        <w:rPr>
          <w:sz w:val="20"/>
        </w:rPr>
        <w:t>Holzapfel</w:t>
      </w:r>
      <w:proofErr w:type="spellEnd"/>
      <w:r w:rsidRPr="008433A6">
        <w:rPr>
          <w:sz w:val="20"/>
        </w:rPr>
        <w:t xml:space="preserve">, Pike, and </w:t>
      </w:r>
      <w:proofErr w:type="spellStart"/>
      <w:r w:rsidRPr="008433A6">
        <w:rPr>
          <w:sz w:val="20"/>
        </w:rPr>
        <w:t>Seely</w:t>
      </w:r>
      <w:proofErr w:type="spellEnd"/>
      <w:r w:rsidRPr="008433A6">
        <w:rPr>
          <w:sz w:val="20"/>
        </w:rPr>
        <w:t xml:space="preserve">, </w:t>
      </w:r>
      <w:r w:rsidRPr="008433A6">
        <w:rPr>
          <w:i/>
          <w:sz w:val="20"/>
        </w:rPr>
        <w:t>Jehovah and the World of the Old Testament</w:t>
      </w:r>
      <w:r w:rsidRPr="008433A6">
        <w:rPr>
          <w:sz w:val="20"/>
        </w:rPr>
        <w:t xml:space="preserve"> (2009), 157, 159.</w:t>
      </w:r>
    </w:p>
    <w:p w:rsidR="00697256" w:rsidRPr="000C7D49" w:rsidRDefault="00697256" w:rsidP="00697256">
      <w:pPr>
        <w:pStyle w:val="BodyTextIndent3"/>
        <w:pBdr>
          <w:bottom w:val="double" w:sz="6" w:space="1" w:color="auto"/>
        </w:pBdr>
        <w:ind w:left="0" w:firstLine="0"/>
      </w:pPr>
    </w:p>
    <w:p w:rsidR="00E34A30" w:rsidRDefault="00E34A30" w:rsidP="004B6A2C">
      <w:pPr>
        <w:jc w:val="center"/>
        <w:rPr>
          <w:b/>
        </w:rPr>
      </w:pPr>
    </w:p>
    <w:p w:rsidR="004B6A2C" w:rsidRPr="00E34A30" w:rsidRDefault="004B6A2C" w:rsidP="00E34A30">
      <w:pPr>
        <w:jc w:val="center"/>
        <w:rPr>
          <w:b/>
        </w:rPr>
      </w:pPr>
      <w:r w:rsidRPr="004B6A2C">
        <w:rPr>
          <w:b/>
        </w:rPr>
        <w:t>The Bronze Serpent</w:t>
      </w:r>
    </w:p>
    <w:p w:rsidR="004B6A2C" w:rsidRDefault="004B6A2C" w:rsidP="004B6A2C">
      <w:r>
        <w:t xml:space="preserve">“People in the ancient Near East frequently utilized the image of something as an amulet to protect against the thing itself. For example, a number of Egyptian amulets shaped like a snake have been discovered, presumably meant to protect the wearer from snakebite. Many assume this </w:t>
      </w:r>
      <w:r>
        <w:lastRenderedPageBreak/>
        <w:t>is why Moses made a bronze snake. The discovery of metal snakes in sacred areas suggests they also played a role in worship for some Egyptians and Canaanites, paradoxically symbolizing life as well as death. The bronze snake Moses made was saved by the Israelites for about 500 years as a relic of Jehovah’s power to deliver. Second Kings 18:4 reports that King Hezekiah destroyed it, however, because some Israelites had begun to worship it.”</w:t>
      </w:r>
    </w:p>
    <w:p w:rsidR="004B6A2C" w:rsidRPr="008433A6" w:rsidRDefault="004B6A2C" w:rsidP="004B6A2C">
      <w:pPr>
        <w:jc w:val="right"/>
        <w:rPr>
          <w:sz w:val="20"/>
        </w:rPr>
      </w:pPr>
      <w:proofErr w:type="spellStart"/>
      <w:r w:rsidRPr="008433A6">
        <w:rPr>
          <w:sz w:val="20"/>
        </w:rPr>
        <w:t>Holzapfel</w:t>
      </w:r>
      <w:proofErr w:type="spellEnd"/>
      <w:r w:rsidRPr="008433A6">
        <w:rPr>
          <w:sz w:val="20"/>
        </w:rPr>
        <w:t xml:space="preserve">, Pike, and </w:t>
      </w:r>
      <w:proofErr w:type="spellStart"/>
      <w:r w:rsidRPr="008433A6">
        <w:rPr>
          <w:sz w:val="20"/>
        </w:rPr>
        <w:t>Seely</w:t>
      </w:r>
      <w:proofErr w:type="spellEnd"/>
      <w:r w:rsidRPr="008433A6">
        <w:rPr>
          <w:sz w:val="20"/>
        </w:rPr>
        <w:t xml:space="preserve">, </w:t>
      </w:r>
      <w:r w:rsidRPr="008433A6">
        <w:rPr>
          <w:i/>
          <w:sz w:val="20"/>
        </w:rPr>
        <w:t>Jehovah and the World of the Old Testament</w:t>
      </w:r>
      <w:r w:rsidRPr="008433A6">
        <w:rPr>
          <w:sz w:val="20"/>
        </w:rPr>
        <w:t xml:space="preserve"> (2009), 1</w:t>
      </w:r>
      <w:r>
        <w:rPr>
          <w:sz w:val="20"/>
        </w:rPr>
        <w:t>33</w:t>
      </w:r>
      <w:r w:rsidRPr="008433A6">
        <w:rPr>
          <w:sz w:val="20"/>
        </w:rPr>
        <w:t>.</w:t>
      </w:r>
    </w:p>
    <w:p w:rsidR="004B6A2C" w:rsidRDefault="004B6A2C" w:rsidP="004B6A2C"/>
    <w:p w:rsidR="00697256" w:rsidRDefault="004B6A2C" w:rsidP="004B6A2C">
      <w:r>
        <w:t>Snakes are often found in ancient Near Eastern art and texts, which depict their power to kill as well as to heal.</w:t>
      </w:r>
    </w:p>
    <w:p w:rsidR="00F07A1E" w:rsidRPr="008433A6" w:rsidRDefault="00F07A1E" w:rsidP="00F07A1E">
      <w:pPr>
        <w:pStyle w:val="BodyTextIndent3"/>
        <w:pBdr>
          <w:bottom w:val="double" w:sz="6" w:space="1" w:color="auto"/>
        </w:pBdr>
        <w:ind w:left="0" w:firstLine="0"/>
      </w:pPr>
    </w:p>
    <w:p w:rsidR="00F07A1E" w:rsidRDefault="00F07A1E" w:rsidP="00F07A1E">
      <w:pPr>
        <w:pStyle w:val="BodyTextIndent3"/>
        <w:ind w:left="0" w:firstLine="0"/>
      </w:pPr>
    </w:p>
    <w:p w:rsidR="00F07A1E" w:rsidRPr="00E34A30" w:rsidRDefault="00F07A1E" w:rsidP="00E34A30">
      <w:pPr>
        <w:pStyle w:val="BodyTextIndent3"/>
        <w:ind w:left="0" w:firstLine="0"/>
        <w:jc w:val="center"/>
        <w:rPr>
          <w:b/>
        </w:rPr>
      </w:pPr>
      <w:r w:rsidRPr="008433A6">
        <w:rPr>
          <w:b/>
        </w:rPr>
        <w:t>Baal-</w:t>
      </w:r>
      <w:proofErr w:type="spellStart"/>
      <w:r w:rsidRPr="008433A6">
        <w:rPr>
          <w:b/>
        </w:rPr>
        <w:t>Peor</w:t>
      </w:r>
      <w:proofErr w:type="spellEnd"/>
    </w:p>
    <w:p w:rsidR="00F07A1E" w:rsidRPr="008433A6" w:rsidRDefault="00F07A1E" w:rsidP="00F07A1E">
      <w:pPr>
        <w:ind w:firstLine="360"/>
      </w:pPr>
      <w:r w:rsidRPr="008433A6">
        <w:t>The place associated with the idol of Moab that tempted Israel while in the wilderness (</w:t>
      </w:r>
      <w:proofErr w:type="spellStart"/>
      <w:r w:rsidRPr="008433A6">
        <w:t>Deut</w:t>
      </w:r>
      <w:proofErr w:type="spellEnd"/>
      <w:r w:rsidRPr="008433A6">
        <w:t xml:space="preserve"> 4:3; Hos 9:10).  According to the narrative account (Numbers 25), while Israel was encamped at </w:t>
      </w:r>
      <w:proofErr w:type="spellStart"/>
      <w:r w:rsidRPr="008433A6">
        <w:t>Shittim</w:t>
      </w:r>
      <w:proofErr w:type="spellEnd"/>
      <w:r w:rsidRPr="008433A6">
        <w:t xml:space="preserve">, the men of Israel engaged in immorality with women of Moab.  This activity was linked to the idolatrous worship of Baal of </w:t>
      </w:r>
      <w:proofErr w:type="spellStart"/>
      <w:r w:rsidRPr="008433A6">
        <w:t>Peor</w:t>
      </w:r>
      <w:proofErr w:type="spellEnd"/>
      <w:r w:rsidRPr="008433A6">
        <w:t xml:space="preserve">.  As a result God brought a plague on Israel in which 24,000 died, and this was only stayed when Phinehas, the son of the high priest, killed </w:t>
      </w:r>
      <w:proofErr w:type="spellStart"/>
      <w:r w:rsidRPr="008433A6">
        <w:t>Zimri</w:t>
      </w:r>
      <w:proofErr w:type="spellEnd"/>
      <w:r w:rsidRPr="008433A6">
        <w:t xml:space="preserve">, a </w:t>
      </w:r>
      <w:proofErr w:type="spellStart"/>
      <w:r w:rsidRPr="008433A6">
        <w:t>Simeonite</w:t>
      </w:r>
      <w:proofErr w:type="spellEnd"/>
      <w:r w:rsidRPr="008433A6">
        <w:t xml:space="preserve"> man, and </w:t>
      </w:r>
      <w:proofErr w:type="spellStart"/>
      <w:r w:rsidRPr="008433A6">
        <w:t>Cozbi</w:t>
      </w:r>
      <w:proofErr w:type="spellEnd"/>
      <w:r w:rsidRPr="008433A6">
        <w:t xml:space="preserve">, a Midianite woman with whom </w:t>
      </w:r>
      <w:proofErr w:type="spellStart"/>
      <w:r w:rsidRPr="008433A6">
        <w:t>Zimri</w:t>
      </w:r>
      <w:proofErr w:type="spellEnd"/>
      <w:r w:rsidRPr="008433A6">
        <w:t xml:space="preserve"> violated the covenant (</w:t>
      </w:r>
      <w:proofErr w:type="spellStart"/>
      <w:r w:rsidRPr="008433A6">
        <w:t>Num</w:t>
      </w:r>
      <w:proofErr w:type="spellEnd"/>
      <w:r w:rsidRPr="008433A6">
        <w:t xml:space="preserve"> 25:18).  According to Mendenhall (1973: 105–21) it was an act of ritual intercourse that yoked this Israelite man to the pagan god; thus he broke covenant with the God of Israel.</w:t>
      </w:r>
    </w:p>
    <w:p w:rsidR="00F07A1E" w:rsidRPr="004B6A2C" w:rsidRDefault="00F07A1E" w:rsidP="004B6A2C">
      <w:pPr>
        <w:ind w:firstLine="360"/>
        <w:rPr>
          <w:i/>
        </w:rPr>
      </w:pPr>
      <w:r w:rsidRPr="008433A6">
        <w:t>Baal-</w:t>
      </w:r>
      <w:proofErr w:type="spellStart"/>
      <w:r w:rsidRPr="008433A6">
        <w:t>peor</w:t>
      </w:r>
      <w:proofErr w:type="spellEnd"/>
      <w:r w:rsidRPr="008433A6">
        <w:t xml:space="preserve"> or Baal of </w:t>
      </w:r>
      <w:proofErr w:type="spellStart"/>
      <w:r w:rsidRPr="008433A6">
        <w:t>Peor</w:t>
      </w:r>
      <w:proofErr w:type="spellEnd"/>
      <w:r w:rsidRPr="008433A6">
        <w:t xml:space="preserve"> was one of the leading gods of the Moabites, Midianites, and Ammonites, but akin to the Canaanite Baal and Moloch.  The sensual rites of worship indicate a connection with the Phoenician Baal and the Moabite </w:t>
      </w:r>
      <w:proofErr w:type="spellStart"/>
      <w:r w:rsidRPr="008433A6">
        <w:t>Chemosh</w:t>
      </w:r>
      <w:proofErr w:type="spellEnd"/>
      <w:r w:rsidRPr="008433A6">
        <w:t>. …</w:t>
      </w:r>
    </w:p>
    <w:p w:rsidR="00F07A1E" w:rsidRPr="00B428E6" w:rsidRDefault="00F07A1E" w:rsidP="00B428E6">
      <w:pPr>
        <w:pStyle w:val="BodyTextIndent3"/>
        <w:ind w:left="0" w:firstLine="0"/>
        <w:jc w:val="right"/>
        <w:rPr>
          <w:sz w:val="20"/>
        </w:rPr>
      </w:pPr>
      <w:r w:rsidRPr="008433A6">
        <w:rPr>
          <w:i/>
          <w:sz w:val="20"/>
        </w:rPr>
        <w:t>Anchor Bible Dictionary</w:t>
      </w:r>
      <w:r w:rsidRPr="008433A6">
        <w:rPr>
          <w:sz w:val="20"/>
        </w:rPr>
        <w:t>, 1:553.</w:t>
      </w:r>
    </w:p>
    <w:p w:rsidR="00F07A1E" w:rsidRPr="008433A6" w:rsidRDefault="00F07A1E" w:rsidP="00F07A1E">
      <w:pPr>
        <w:pStyle w:val="BodyTextIndent3"/>
        <w:pBdr>
          <w:bottom w:val="double" w:sz="6" w:space="1" w:color="auto"/>
        </w:pBdr>
        <w:ind w:left="0" w:firstLine="0"/>
      </w:pPr>
    </w:p>
    <w:p w:rsidR="00F07A1E" w:rsidRPr="008433A6" w:rsidRDefault="00F07A1E" w:rsidP="00F07A1E"/>
    <w:p w:rsidR="00F07A1E" w:rsidRPr="00E34A30" w:rsidRDefault="00F07A1E" w:rsidP="00E34A30">
      <w:pPr>
        <w:jc w:val="center"/>
        <w:rPr>
          <w:b/>
        </w:rPr>
      </w:pPr>
      <w:r w:rsidRPr="008433A6">
        <w:rPr>
          <w:rFonts w:cs="Chaucer"/>
          <w:b/>
          <w:szCs w:val="40"/>
        </w:rPr>
        <w:t xml:space="preserve">Balaam and </w:t>
      </w:r>
      <w:proofErr w:type="spellStart"/>
      <w:r w:rsidRPr="008433A6">
        <w:rPr>
          <w:rFonts w:cs="Chaucer"/>
          <w:b/>
          <w:szCs w:val="40"/>
        </w:rPr>
        <w:t>Deir</w:t>
      </w:r>
      <w:proofErr w:type="spellEnd"/>
      <w:r w:rsidRPr="008433A6">
        <w:rPr>
          <w:rFonts w:cs="Chaucer"/>
          <w:b/>
          <w:szCs w:val="40"/>
        </w:rPr>
        <w:t xml:space="preserve"> ‘</w:t>
      </w:r>
      <w:proofErr w:type="spellStart"/>
      <w:r w:rsidRPr="008433A6">
        <w:rPr>
          <w:rFonts w:cs="Chaucer"/>
          <w:b/>
          <w:szCs w:val="40"/>
        </w:rPr>
        <w:t>Alla</w:t>
      </w:r>
      <w:proofErr w:type="spellEnd"/>
    </w:p>
    <w:p w:rsidR="00F07A1E" w:rsidRPr="008433A6" w:rsidRDefault="00F07A1E" w:rsidP="00F07A1E">
      <w:pPr>
        <w:widowControl w:val="0"/>
        <w:autoSpaceDE w:val="0"/>
        <w:autoSpaceDN w:val="0"/>
        <w:adjustRightInd w:val="0"/>
        <w:ind w:firstLine="360"/>
        <w:rPr>
          <w:rFonts w:cs="Chaucer"/>
          <w:szCs w:val="17"/>
        </w:rPr>
      </w:pPr>
      <w:r w:rsidRPr="008433A6">
        <w:rPr>
          <w:rFonts w:cs="Chaucer"/>
          <w:szCs w:val="71"/>
        </w:rPr>
        <w:t>I</w:t>
      </w:r>
      <w:r w:rsidRPr="008433A6">
        <w:rPr>
          <w:rFonts w:cs="Chaucer"/>
          <w:szCs w:val="17"/>
        </w:rPr>
        <w:t xml:space="preserve">n 1967 a Dutch team of excavators discovered fragments of a text written in ink on plaster that coated a building wall at </w:t>
      </w:r>
      <w:proofErr w:type="spellStart"/>
      <w:r w:rsidRPr="008433A6">
        <w:rPr>
          <w:rFonts w:cs="Chaucer"/>
          <w:szCs w:val="17"/>
        </w:rPr>
        <w:t>Deir</w:t>
      </w:r>
      <w:proofErr w:type="spellEnd"/>
      <w:r w:rsidRPr="008433A6">
        <w:rPr>
          <w:rFonts w:cs="Chaucer"/>
          <w:szCs w:val="17"/>
        </w:rPr>
        <w:t xml:space="preserve"> ‘</w:t>
      </w:r>
      <w:proofErr w:type="spellStart"/>
      <w:r w:rsidRPr="008433A6">
        <w:rPr>
          <w:rFonts w:cs="Chaucer"/>
          <w:szCs w:val="17"/>
        </w:rPr>
        <w:t>Alla</w:t>
      </w:r>
      <w:proofErr w:type="spellEnd"/>
      <w:r w:rsidRPr="008433A6">
        <w:rPr>
          <w:rFonts w:cs="Chaucer"/>
          <w:szCs w:val="17"/>
        </w:rPr>
        <w:t xml:space="preserve"> … located in the eastern Jordan River Valley about one mile north of the Jabbok River. … </w:t>
      </w:r>
    </w:p>
    <w:p w:rsidR="00F07A1E" w:rsidRPr="008433A6" w:rsidRDefault="00F07A1E" w:rsidP="00F07A1E">
      <w:pPr>
        <w:widowControl w:val="0"/>
        <w:autoSpaceDE w:val="0"/>
        <w:autoSpaceDN w:val="0"/>
        <w:adjustRightInd w:val="0"/>
        <w:ind w:firstLine="360"/>
        <w:rPr>
          <w:rFonts w:cs="Chaucer"/>
          <w:szCs w:val="17"/>
        </w:rPr>
      </w:pPr>
      <w:r w:rsidRPr="008433A6">
        <w:rPr>
          <w:rFonts w:cs="Chaucer"/>
          <w:szCs w:val="17"/>
        </w:rPr>
        <w:t xml:space="preserve">The </w:t>
      </w:r>
      <w:proofErr w:type="spellStart"/>
      <w:r w:rsidRPr="008433A6">
        <w:rPr>
          <w:rFonts w:cs="Chaucer"/>
          <w:szCs w:val="17"/>
        </w:rPr>
        <w:t>Deir</w:t>
      </w:r>
      <w:proofErr w:type="spellEnd"/>
      <w:r w:rsidRPr="008433A6">
        <w:rPr>
          <w:rFonts w:cs="Chaucer"/>
          <w:szCs w:val="17"/>
        </w:rPr>
        <w:t xml:space="preserve"> ‘</w:t>
      </w:r>
      <w:proofErr w:type="spellStart"/>
      <w:r w:rsidRPr="008433A6">
        <w:rPr>
          <w:rFonts w:cs="Chaucer"/>
          <w:szCs w:val="17"/>
        </w:rPr>
        <w:t>Alla</w:t>
      </w:r>
      <w:proofErr w:type="spellEnd"/>
      <w:r w:rsidRPr="008433A6">
        <w:rPr>
          <w:rFonts w:cs="Chaucer"/>
          <w:szCs w:val="17"/>
        </w:rPr>
        <w:t xml:space="preserve"> text, composed in a dialect of Aramaic with Ammonite affinities, dates to about 800 </w:t>
      </w:r>
      <w:r w:rsidRPr="008433A6">
        <w:rPr>
          <w:rFonts w:cs="Chaucer"/>
          <w:szCs w:val="12"/>
        </w:rPr>
        <w:t xml:space="preserve">BC. </w:t>
      </w:r>
      <w:r w:rsidRPr="008433A6">
        <w:rPr>
          <w:rFonts w:cs="Chaucer"/>
          <w:szCs w:val="17"/>
        </w:rPr>
        <w:t xml:space="preserve"> The majority of the surviving words were carefully written in black ink, although some are in red, and there appears to have been a red ink line that framed columns of text on the wall.  The text is presumably a copy of an earlier document, but no other evidence survives.  Two “combinations” of the </w:t>
      </w:r>
      <w:proofErr w:type="spellStart"/>
      <w:r w:rsidRPr="008433A6">
        <w:rPr>
          <w:rFonts w:cs="Chaucer"/>
          <w:szCs w:val="17"/>
        </w:rPr>
        <w:t>Deir</w:t>
      </w:r>
      <w:proofErr w:type="spellEnd"/>
      <w:r w:rsidRPr="008433A6">
        <w:rPr>
          <w:rFonts w:cs="Chaucer"/>
          <w:szCs w:val="17"/>
        </w:rPr>
        <w:t xml:space="preserve"> ‘</w:t>
      </w:r>
      <w:proofErr w:type="spellStart"/>
      <w:r w:rsidRPr="008433A6">
        <w:rPr>
          <w:rFonts w:cs="Chaucer"/>
          <w:szCs w:val="17"/>
        </w:rPr>
        <w:t>Alla</w:t>
      </w:r>
      <w:proofErr w:type="spellEnd"/>
      <w:r w:rsidRPr="008433A6">
        <w:rPr>
          <w:rFonts w:cs="Chaucer"/>
          <w:szCs w:val="17"/>
        </w:rPr>
        <w:t xml:space="preserve"> text (from two columns of writing) have been reconstructed by scholars, but both are fragmentary, especially Combination 2. </w:t>
      </w:r>
    </w:p>
    <w:p w:rsidR="00F07A1E" w:rsidRPr="008433A6" w:rsidRDefault="00F07A1E" w:rsidP="00F07A1E">
      <w:pPr>
        <w:widowControl w:val="0"/>
        <w:autoSpaceDE w:val="0"/>
        <w:autoSpaceDN w:val="0"/>
        <w:adjustRightInd w:val="0"/>
        <w:ind w:firstLine="360"/>
        <w:rPr>
          <w:rFonts w:cs="Chaucer"/>
          <w:szCs w:val="17"/>
        </w:rPr>
      </w:pPr>
      <w:r w:rsidRPr="008433A6">
        <w:rPr>
          <w:rFonts w:cs="Chaucer"/>
          <w:szCs w:val="17"/>
        </w:rPr>
        <w:t xml:space="preserve">The most remarkable feature of the </w:t>
      </w:r>
      <w:proofErr w:type="spellStart"/>
      <w:r w:rsidRPr="008433A6">
        <w:rPr>
          <w:rFonts w:cs="Chaucer"/>
          <w:szCs w:val="17"/>
        </w:rPr>
        <w:t>Deir</w:t>
      </w:r>
      <w:proofErr w:type="spellEnd"/>
      <w:r w:rsidRPr="008433A6">
        <w:rPr>
          <w:rFonts w:cs="Chaucer"/>
          <w:szCs w:val="17"/>
        </w:rPr>
        <w:t xml:space="preserve"> ‘</w:t>
      </w:r>
      <w:proofErr w:type="spellStart"/>
      <w:r w:rsidRPr="008433A6">
        <w:rPr>
          <w:rFonts w:cs="Chaucer"/>
          <w:szCs w:val="17"/>
        </w:rPr>
        <w:t>Alla</w:t>
      </w:r>
      <w:proofErr w:type="spellEnd"/>
      <w:r w:rsidRPr="008433A6">
        <w:rPr>
          <w:rFonts w:cs="Chaucer"/>
          <w:szCs w:val="17"/>
        </w:rPr>
        <w:t xml:space="preserve"> text is that it claims to be the “Book of Balaam.”  While the contents are not the same as Numbers 22–24, there are definite similarities.  Balaam is described as the “son of </w:t>
      </w:r>
      <w:proofErr w:type="spellStart"/>
      <w:r w:rsidRPr="008433A6">
        <w:rPr>
          <w:rFonts w:cs="Chaucer"/>
          <w:szCs w:val="17"/>
        </w:rPr>
        <w:t>Beor</w:t>
      </w:r>
      <w:proofErr w:type="spellEnd"/>
      <w:r w:rsidRPr="008433A6">
        <w:rPr>
          <w:rFonts w:cs="Chaucer"/>
          <w:szCs w:val="17"/>
        </w:rPr>
        <w:t xml:space="preserve">” and a “divine seer.”  In Combination 1, the god El gives Balaam a revelation of doom one night that he shares with his associates the next day (compare </w:t>
      </w:r>
      <w:proofErr w:type="spellStart"/>
      <w:r w:rsidRPr="008433A6">
        <w:rPr>
          <w:rFonts w:cs="Chaucer"/>
          <w:szCs w:val="17"/>
        </w:rPr>
        <w:t>Num</w:t>
      </w:r>
      <w:proofErr w:type="spellEnd"/>
      <w:r w:rsidRPr="008433A6">
        <w:rPr>
          <w:rFonts w:cs="Chaucer"/>
          <w:szCs w:val="17"/>
        </w:rPr>
        <w:t xml:space="preserve"> 22:5–8).  Through various means, Balaam helps avert calamity. </w:t>
      </w:r>
    </w:p>
    <w:p w:rsidR="00F07A1E" w:rsidRPr="008433A6" w:rsidRDefault="00F07A1E" w:rsidP="00F07A1E">
      <w:pPr>
        <w:widowControl w:val="0"/>
        <w:autoSpaceDE w:val="0"/>
        <w:autoSpaceDN w:val="0"/>
        <w:adjustRightInd w:val="0"/>
        <w:ind w:firstLine="360"/>
        <w:rPr>
          <w:rFonts w:cs="Chaucer"/>
          <w:szCs w:val="17"/>
        </w:rPr>
      </w:pPr>
      <w:r w:rsidRPr="008433A6">
        <w:rPr>
          <w:rFonts w:cs="Chaucer"/>
          <w:szCs w:val="17"/>
        </w:rPr>
        <w:t xml:space="preserve">Discovered not too many miles from where the book of Numbers places the Israelites when Balaam was commissioned by </w:t>
      </w:r>
      <w:proofErr w:type="spellStart"/>
      <w:r w:rsidRPr="008433A6">
        <w:rPr>
          <w:rFonts w:cs="Chaucer"/>
          <w:szCs w:val="17"/>
        </w:rPr>
        <w:t>Balak</w:t>
      </w:r>
      <w:proofErr w:type="spellEnd"/>
      <w:r w:rsidRPr="008433A6">
        <w:rPr>
          <w:rFonts w:cs="Chaucer"/>
          <w:szCs w:val="17"/>
        </w:rPr>
        <w:t xml:space="preserve"> to curse Israel, the </w:t>
      </w:r>
      <w:proofErr w:type="spellStart"/>
      <w:r w:rsidRPr="008433A6">
        <w:rPr>
          <w:rFonts w:cs="Chaucer"/>
          <w:szCs w:val="17"/>
        </w:rPr>
        <w:t>Deir</w:t>
      </w:r>
      <w:proofErr w:type="spellEnd"/>
      <w:r w:rsidRPr="008433A6">
        <w:rPr>
          <w:rFonts w:cs="Chaucer"/>
          <w:szCs w:val="17"/>
        </w:rPr>
        <w:t xml:space="preserve"> ‘</w:t>
      </w:r>
      <w:proofErr w:type="spellStart"/>
      <w:r w:rsidRPr="008433A6">
        <w:rPr>
          <w:rFonts w:cs="Chaucer"/>
          <w:szCs w:val="17"/>
        </w:rPr>
        <w:t>Alla</w:t>
      </w:r>
      <w:proofErr w:type="spellEnd"/>
      <w:r w:rsidRPr="008433A6">
        <w:rPr>
          <w:rFonts w:cs="Chaucer"/>
          <w:szCs w:val="17"/>
        </w:rPr>
        <w:t xml:space="preserve"> text demonstrates that a tradition of Balaam existed in the region for some time.  Many scholars use the date of the inscription [c. 800 BC</w:t>
      </w:r>
      <w:proofErr w:type="gramStart"/>
      <w:r w:rsidRPr="008433A6">
        <w:rPr>
          <w:rFonts w:cs="Chaucer"/>
          <w:szCs w:val="17"/>
        </w:rPr>
        <w:t>]  to</w:t>
      </w:r>
      <w:proofErr w:type="gramEnd"/>
      <w:r w:rsidRPr="008433A6">
        <w:rPr>
          <w:rFonts w:cs="Chaucer"/>
          <w:szCs w:val="17"/>
        </w:rPr>
        <w:t xml:space="preserve"> suggest the dating of the biblical text; this would be more than four centuries after the date the Bible depicts Balaam.  [We presume the inscription preserves an older </w:t>
      </w:r>
      <w:r w:rsidRPr="008433A6">
        <w:rPr>
          <w:rFonts w:cs="Chaucer"/>
          <w:szCs w:val="17"/>
        </w:rPr>
        <w:lastRenderedPageBreak/>
        <w:t>tradition accurately represented in the Bible.]</w:t>
      </w:r>
    </w:p>
    <w:p w:rsidR="00F07A1E" w:rsidRPr="008433A6" w:rsidRDefault="00F07A1E" w:rsidP="00E34A30">
      <w:pPr>
        <w:widowControl w:val="0"/>
        <w:autoSpaceDE w:val="0"/>
        <w:autoSpaceDN w:val="0"/>
        <w:adjustRightInd w:val="0"/>
        <w:ind w:firstLine="360"/>
        <w:rPr>
          <w:rFonts w:cs="Chaucer"/>
          <w:szCs w:val="17"/>
        </w:rPr>
      </w:pPr>
      <w:r w:rsidRPr="008433A6">
        <w:rPr>
          <w:rFonts w:cs="Chaucer"/>
          <w:szCs w:val="17"/>
        </w:rPr>
        <w:t xml:space="preserve">The book of Numbers portrays Balaam as a non-Israelite prophet from </w:t>
      </w:r>
      <w:proofErr w:type="spellStart"/>
      <w:r w:rsidRPr="008433A6">
        <w:rPr>
          <w:rFonts w:cs="Chaucer"/>
          <w:szCs w:val="17"/>
        </w:rPr>
        <w:t>Pethor</w:t>
      </w:r>
      <w:proofErr w:type="spellEnd"/>
      <w:r w:rsidRPr="008433A6">
        <w:rPr>
          <w:rFonts w:cs="Chaucer"/>
          <w:szCs w:val="17"/>
        </w:rPr>
        <w:t>, thought to be in northern Syria, so he was not from the region of Moab.  The biblical depiction of Balaam as worshipping Jehovah (“the L</w:t>
      </w:r>
      <w:r w:rsidRPr="008433A6">
        <w:rPr>
          <w:rFonts w:cs="Chaucer"/>
          <w:szCs w:val="12"/>
        </w:rPr>
        <w:t xml:space="preserve">ORD </w:t>
      </w:r>
      <w:r w:rsidRPr="008433A6">
        <w:rPr>
          <w:rFonts w:cs="Chaucer"/>
          <w:szCs w:val="17"/>
        </w:rPr>
        <w:t>my God” [</w:t>
      </w:r>
      <w:proofErr w:type="spellStart"/>
      <w:r w:rsidRPr="008433A6">
        <w:rPr>
          <w:rFonts w:cs="Chaucer"/>
          <w:szCs w:val="17"/>
        </w:rPr>
        <w:t>Num</w:t>
      </w:r>
      <w:proofErr w:type="spellEnd"/>
      <w:r w:rsidRPr="008433A6">
        <w:rPr>
          <w:rFonts w:cs="Chaucer"/>
          <w:szCs w:val="17"/>
        </w:rPr>
        <w:t xml:space="preserve"> 22:18]) should probably not be interpreted to mean he exclusively worshipped Jehovah.  It is likely that he was considered able to invoke the power of various deities, depending on the circumstances.  This view implies that Jehovah worked through Balaam, but did not necessarily aut</w:t>
      </w:r>
      <w:r w:rsidR="00E34A30">
        <w:rPr>
          <w:rFonts w:cs="Chaucer"/>
          <w:szCs w:val="17"/>
        </w:rPr>
        <w:t xml:space="preserve">horize most of his activities. </w:t>
      </w:r>
    </w:p>
    <w:p w:rsidR="00697256" w:rsidRDefault="00F07A1E" w:rsidP="004B6A2C">
      <w:pPr>
        <w:jc w:val="right"/>
        <w:rPr>
          <w:sz w:val="20"/>
        </w:rPr>
      </w:pPr>
      <w:proofErr w:type="spellStart"/>
      <w:r w:rsidRPr="008433A6">
        <w:rPr>
          <w:sz w:val="20"/>
        </w:rPr>
        <w:t>Holzapfel</w:t>
      </w:r>
      <w:proofErr w:type="spellEnd"/>
      <w:r w:rsidRPr="008433A6">
        <w:rPr>
          <w:sz w:val="20"/>
        </w:rPr>
        <w:t xml:space="preserve">, Pike, and </w:t>
      </w:r>
      <w:proofErr w:type="spellStart"/>
      <w:r w:rsidRPr="008433A6">
        <w:rPr>
          <w:sz w:val="20"/>
        </w:rPr>
        <w:t>Seely</w:t>
      </w:r>
      <w:proofErr w:type="spellEnd"/>
      <w:r w:rsidRPr="008433A6">
        <w:rPr>
          <w:sz w:val="20"/>
        </w:rPr>
        <w:t xml:space="preserve">, </w:t>
      </w:r>
      <w:r w:rsidRPr="008433A6">
        <w:rPr>
          <w:i/>
          <w:sz w:val="20"/>
        </w:rPr>
        <w:t>Jehovah and the World of the Old Testament</w:t>
      </w:r>
      <w:r w:rsidRPr="008433A6">
        <w:rPr>
          <w:sz w:val="20"/>
        </w:rPr>
        <w:t xml:space="preserve"> (2009), 134.</w:t>
      </w:r>
    </w:p>
    <w:p w:rsidR="004B6A2C" w:rsidRPr="000C7D49" w:rsidRDefault="004B6A2C" w:rsidP="004B6A2C">
      <w:pPr>
        <w:pStyle w:val="BodyTextIndent3"/>
        <w:pBdr>
          <w:bottom w:val="double" w:sz="6" w:space="1" w:color="auto"/>
        </w:pBdr>
        <w:ind w:left="0" w:firstLine="0"/>
      </w:pPr>
    </w:p>
    <w:p w:rsidR="004B6A2C" w:rsidRPr="008433A6" w:rsidRDefault="004B6A2C" w:rsidP="004B6A2C">
      <w:pPr>
        <w:pStyle w:val="BodyTextIndent3"/>
        <w:ind w:left="0" w:firstLine="0"/>
      </w:pPr>
    </w:p>
    <w:p w:rsidR="004B6A2C" w:rsidRPr="00E34A30" w:rsidRDefault="004B6A2C" w:rsidP="00E34A30">
      <w:pPr>
        <w:jc w:val="center"/>
        <w:rPr>
          <w:b/>
        </w:rPr>
      </w:pPr>
      <w:r w:rsidRPr="008433A6">
        <w:rPr>
          <w:b/>
        </w:rPr>
        <w:t>Why was Moses not allowed to accompany the Israelites into the Promised Land?</w:t>
      </w:r>
      <w:bookmarkStart w:id="0" w:name="_GoBack"/>
      <w:bookmarkEnd w:id="0"/>
    </w:p>
    <w:p w:rsidR="004B6A2C" w:rsidRDefault="004B6A2C" w:rsidP="004B6A2C">
      <w:pPr>
        <w:ind w:firstLine="360"/>
      </w:pPr>
      <w:r w:rsidRPr="008433A6">
        <w:t>The best indication i</w:t>
      </w:r>
      <w:r>
        <w:t>n the Bible for why Moses was not</w:t>
      </w:r>
      <w:r w:rsidRPr="008433A6">
        <w:t xml:space="preserve"> allowed to enter the Promised Land is found in Numbers 20:7-12.  God instructed Moses to take his rod (the symbol of his and God’s power) and speak to a rock, commanding water to come forth for the t</w:t>
      </w:r>
      <w:r>
        <w:t>hirsty Israelites at Kadesh.  According to</w:t>
      </w:r>
      <w:r w:rsidRPr="008433A6">
        <w:t xml:space="preserve"> verse 10</w:t>
      </w:r>
      <w:r>
        <w:t>, Moses and Aaron brought</w:t>
      </w:r>
      <w:r w:rsidRPr="008433A6">
        <w:t xml:space="preserve"> everyone together and then Moses said, “</w:t>
      </w:r>
      <w:proofErr w:type="gramStart"/>
      <w:r w:rsidRPr="008433A6">
        <w:t>must</w:t>
      </w:r>
      <w:proofErr w:type="gramEnd"/>
      <w:r w:rsidRPr="008433A6">
        <w:t xml:space="preserve"> we [presumably Moses and Aaron] get water from this rock for you.”  Most people take this as pride on Moses’ part, not conveying to the Israelites that it was God’s power that would produce the miracle.  Secondly, verse 11 recounts that he hit the rock twice with this rod and then the water came out.  Commentators see this as a minor act of disobedience/negligence on Moses’ part, since God said speak to the rock and Moses hit the rock, twice.  These two things together </w:t>
      </w:r>
      <w:r>
        <w:t>are cited in verse 12 (and also</w:t>
      </w:r>
      <w:r w:rsidRPr="008433A6">
        <w:t xml:space="preserve"> in </w:t>
      </w:r>
      <w:proofErr w:type="spellStart"/>
      <w:r w:rsidRPr="008433A6">
        <w:t>Num</w:t>
      </w:r>
      <w:proofErr w:type="spellEnd"/>
      <w:r w:rsidRPr="008433A6">
        <w:t xml:space="preserve"> 27:14 and </w:t>
      </w:r>
      <w:proofErr w:type="spellStart"/>
      <w:r w:rsidRPr="008433A6">
        <w:t>Deut</w:t>
      </w:r>
      <w:proofErr w:type="spellEnd"/>
      <w:r w:rsidRPr="008433A6">
        <w:t xml:space="preserve"> 32:51) as the reason that Moses could not enter the promised land of Canaan.  He had rebelled and not sanctified God in</w:t>
      </w:r>
      <w:r>
        <w:t xml:space="preserve"> the eyes of the people; he had not emphasized God </w:t>
      </w:r>
      <w:r w:rsidRPr="008433A6">
        <w:t xml:space="preserve">as the source of the power </w:t>
      </w:r>
      <w:r>
        <w:t>(</w:t>
      </w:r>
      <w:r w:rsidRPr="008433A6">
        <w:t xml:space="preserve">and </w:t>
      </w:r>
      <w:r>
        <w:t>the mercy) by which</w:t>
      </w:r>
      <w:r w:rsidRPr="008433A6">
        <w:t xml:space="preserve"> the water</w:t>
      </w:r>
      <w:r>
        <w:t xml:space="preserve"> came forth</w:t>
      </w:r>
      <w:r w:rsidRPr="008433A6">
        <w:t xml:space="preserve">.  </w:t>
      </w:r>
    </w:p>
    <w:p w:rsidR="004B6A2C" w:rsidRPr="008433A6" w:rsidRDefault="004B6A2C" w:rsidP="004B6A2C">
      <w:pPr>
        <w:ind w:firstLine="360"/>
      </w:pPr>
      <w:r w:rsidRPr="008433A6">
        <w:t xml:space="preserve">Interestingly, in </w:t>
      </w:r>
      <w:proofErr w:type="spellStart"/>
      <w:r w:rsidRPr="008433A6">
        <w:t>Deut</w:t>
      </w:r>
      <w:proofErr w:type="spellEnd"/>
      <w:r w:rsidRPr="008433A6">
        <w:t xml:space="preserve"> 3:26 and 4:21 Moses claims that God was angry with him for/because of the people and that was why he could not go into the Promised Land.  Most people give greater weight to the Lord’s comments in the first three passages </w:t>
      </w:r>
      <w:r>
        <w:t xml:space="preserve">cited above </w:t>
      </w:r>
      <w:r w:rsidRPr="008433A6">
        <w:t xml:space="preserve">and presume a combination of the two factors mentioned above (not publically recognizing God’s power and striking rather than speaking to the rock) was what kept Moses out of the Promised Land.  </w:t>
      </w:r>
    </w:p>
    <w:p w:rsidR="004B6A2C" w:rsidRDefault="004B6A2C" w:rsidP="004B6A2C">
      <w:pPr>
        <w:ind w:firstLine="360"/>
      </w:pPr>
      <w:r w:rsidRPr="008433A6">
        <w:t xml:space="preserve">Since Moses continued to enjoy God’s help as the Israelites journeyed to “the plains of </w:t>
      </w:r>
      <w:r>
        <w:t xml:space="preserve">[Mt.] </w:t>
      </w:r>
      <w:r w:rsidRPr="008433A6">
        <w:t>Nebo,” since Moses was allowed to view the Promised Land from Mt. Nebo, and since Moses was translated to allow him to continue to serve beyond his mortal life span, I have always considered Moses’ mistakes significant but relatively small compared to the people’s sins.  I think scripture cites what Moses did as the reason for something the Lord was not going to let Moses do anyway</w:t>
      </w:r>
      <w:r>
        <w:t xml:space="preserve"> (i.e., enter Canaan), as well as </w:t>
      </w:r>
      <w:r w:rsidRPr="008433A6">
        <w:t xml:space="preserve">to remind us </w:t>
      </w:r>
      <w:r>
        <w:t xml:space="preserve">all </w:t>
      </w:r>
      <w:r w:rsidRPr="008433A6">
        <w:t>that we, ev</w:t>
      </w:r>
      <w:r>
        <w:t>en prophets, need to be careful</w:t>
      </w:r>
      <w:r w:rsidRPr="008433A6">
        <w:t xml:space="preserve">.  I think the Lord never planned on having Moses lead the Israelites into Canaan, </w:t>
      </w:r>
      <w:r>
        <w:t xml:space="preserve">but </w:t>
      </w:r>
      <w:r w:rsidRPr="008433A6">
        <w:t>just</w:t>
      </w:r>
      <w:r>
        <w:t xml:space="preserve"> to the doorstep, so to speak.</w:t>
      </w:r>
      <w:r>
        <w:tab/>
      </w:r>
      <w:r>
        <w:tab/>
      </w:r>
      <w:r>
        <w:tab/>
      </w:r>
      <w:r>
        <w:tab/>
      </w:r>
      <w:r>
        <w:tab/>
      </w:r>
      <w:r>
        <w:tab/>
      </w:r>
      <w:r>
        <w:tab/>
      </w:r>
      <w:r>
        <w:tab/>
      </w:r>
    </w:p>
    <w:p w:rsidR="004B6A2C" w:rsidRPr="004B6A2C" w:rsidRDefault="004B6A2C" w:rsidP="004B6A2C">
      <w:pPr>
        <w:ind w:firstLine="360"/>
        <w:jc w:val="right"/>
      </w:pPr>
      <w:r w:rsidRPr="008433A6">
        <w:rPr>
          <w:sz w:val="20"/>
        </w:rPr>
        <w:t>[DMP]</w:t>
      </w:r>
      <w:r>
        <w:tab/>
      </w:r>
    </w:p>
    <w:sectPr w:rsidR="004B6A2C" w:rsidRPr="004B6A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HoeflerText-Roman">
    <w:altName w:val="Times New Roman"/>
    <w:panose1 w:val="00000000000000000000"/>
    <w:charset w:val="00"/>
    <w:family w:val="auto"/>
    <w:notTrueType/>
    <w:pitch w:val="default"/>
    <w:sig w:usb0="00000003" w:usb1="00000000" w:usb2="00000000" w:usb3="00000000" w:csb0="00000001" w:csb1="00000000"/>
  </w:font>
  <w:font w:name="Chaucer">
    <w:altName w:val="Times New Roman"/>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0A2835"/>
    <w:multiLevelType w:val="hybridMultilevel"/>
    <w:tmpl w:val="7C1A8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1A0431"/>
    <w:multiLevelType w:val="hybridMultilevel"/>
    <w:tmpl w:val="F0DA5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781"/>
    <w:rsid w:val="000A7052"/>
    <w:rsid w:val="00152848"/>
    <w:rsid w:val="004B6A2C"/>
    <w:rsid w:val="005C2EFC"/>
    <w:rsid w:val="0066042C"/>
    <w:rsid w:val="00697256"/>
    <w:rsid w:val="00725439"/>
    <w:rsid w:val="00843DC8"/>
    <w:rsid w:val="00A11E94"/>
    <w:rsid w:val="00B428E6"/>
    <w:rsid w:val="00E34A30"/>
    <w:rsid w:val="00E87781"/>
    <w:rsid w:val="00F07A1E"/>
    <w:rsid w:val="00F541D7"/>
    <w:rsid w:val="00F83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E180F"/>
  <w15:chartTrackingRefBased/>
  <w15:docId w15:val="{F000F48B-100E-457B-8378-791D1A91E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7781"/>
    <w:pPr>
      <w:spacing w:after="0" w:line="240" w:lineRule="auto"/>
    </w:pPr>
    <w:rPr>
      <w:rFonts w:ascii="Times" w:eastAsia="Times" w:hAnsi="Times"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697256"/>
    <w:pPr>
      <w:ind w:left="1440" w:hanging="720"/>
    </w:pPr>
    <w:rPr>
      <w:szCs w:val="24"/>
    </w:rPr>
  </w:style>
  <w:style w:type="character" w:customStyle="1" w:styleId="BodyTextIndentChar">
    <w:name w:val="Body Text Indent Char"/>
    <w:basedOn w:val="DefaultParagraphFont"/>
    <w:link w:val="BodyTextIndent"/>
    <w:rsid w:val="00697256"/>
    <w:rPr>
      <w:rFonts w:ascii="Times" w:eastAsia="Times" w:hAnsi="Times" w:cs="Times New Roman"/>
      <w:sz w:val="24"/>
      <w:szCs w:val="24"/>
    </w:rPr>
  </w:style>
  <w:style w:type="paragraph" w:styleId="BodyTextIndent3">
    <w:name w:val="Body Text Indent 3"/>
    <w:basedOn w:val="Normal"/>
    <w:link w:val="BodyTextIndent3Char"/>
    <w:rsid w:val="00697256"/>
    <w:pPr>
      <w:ind w:left="720" w:hanging="360"/>
    </w:pPr>
    <w:rPr>
      <w:rFonts w:ascii="Times New Roman" w:hAnsi="Times New Roman"/>
      <w:szCs w:val="24"/>
    </w:rPr>
  </w:style>
  <w:style w:type="character" w:customStyle="1" w:styleId="BodyTextIndent3Char">
    <w:name w:val="Body Text Indent 3 Char"/>
    <w:basedOn w:val="DefaultParagraphFont"/>
    <w:link w:val="BodyTextIndent3"/>
    <w:rsid w:val="00697256"/>
    <w:rPr>
      <w:rFonts w:ascii="Times New Roman" w:eastAsia="Times" w:hAnsi="Times New Roman" w:cs="Times New Roman"/>
      <w:sz w:val="24"/>
      <w:szCs w:val="24"/>
    </w:rPr>
  </w:style>
  <w:style w:type="paragraph" w:styleId="ListParagraph">
    <w:name w:val="List Paragraph"/>
    <w:basedOn w:val="Normal"/>
    <w:uiPriority w:val="34"/>
    <w:qFormat/>
    <w:rsid w:val="00843DC8"/>
    <w:pPr>
      <w:ind w:left="720"/>
      <w:contextualSpacing/>
    </w:pPr>
  </w:style>
  <w:style w:type="paragraph" w:styleId="NoSpacing">
    <w:name w:val="No Spacing"/>
    <w:uiPriority w:val="1"/>
    <w:qFormat/>
    <w:rsid w:val="00E34A30"/>
    <w:pPr>
      <w:spacing w:after="0" w:line="240" w:lineRule="auto"/>
    </w:pPr>
  </w:style>
  <w:style w:type="character" w:styleId="Hyperlink">
    <w:name w:val="Hyperlink"/>
    <w:basedOn w:val="DefaultParagraphFont"/>
    <w:uiPriority w:val="99"/>
    <w:unhideWhenUsed/>
    <w:rsid w:val="00E34A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tp5MIrMZFq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6</Pages>
  <Words>2838</Words>
  <Characters>16181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18982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Easton-Flake</dc:creator>
  <cp:keywords/>
  <dc:description/>
  <cp:lastModifiedBy>Amy Easton-Flake</cp:lastModifiedBy>
  <cp:revision>7</cp:revision>
  <dcterms:created xsi:type="dcterms:W3CDTF">2021-03-27T21:15:00Z</dcterms:created>
  <dcterms:modified xsi:type="dcterms:W3CDTF">2021-07-17T04:24:00Z</dcterms:modified>
</cp:coreProperties>
</file>