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FA59F5" w14:textId="3D933D21" w:rsidR="00EA309C" w:rsidRDefault="0082717B" w:rsidP="004C7329">
      <w:pPr>
        <w:jc w:val="center"/>
        <w:rPr>
          <w:b/>
          <w:sz w:val="26"/>
          <w:szCs w:val="26"/>
        </w:rPr>
      </w:pPr>
      <w:r w:rsidRPr="00401C78">
        <w:rPr>
          <w:b/>
          <w:sz w:val="26"/>
          <w:szCs w:val="26"/>
        </w:rPr>
        <w:t xml:space="preserve">Day 18 Joshua / </w:t>
      </w:r>
      <w:r w:rsidR="00750B11" w:rsidRPr="00401C78">
        <w:rPr>
          <w:b/>
          <w:sz w:val="26"/>
          <w:szCs w:val="26"/>
        </w:rPr>
        <w:t>Conquest of Canaan</w:t>
      </w:r>
      <w:r w:rsidR="004C7329">
        <w:rPr>
          <w:b/>
          <w:sz w:val="26"/>
          <w:szCs w:val="26"/>
        </w:rPr>
        <w:t>:</w:t>
      </w:r>
      <w:r w:rsidR="00D96516" w:rsidRPr="00401C78">
        <w:rPr>
          <w:b/>
          <w:sz w:val="26"/>
          <w:szCs w:val="26"/>
        </w:rPr>
        <w:t xml:space="preserve"> </w:t>
      </w:r>
      <w:r w:rsidR="00EA309C" w:rsidRPr="00401C78">
        <w:rPr>
          <w:b/>
          <w:sz w:val="26"/>
          <w:szCs w:val="26"/>
        </w:rPr>
        <w:t>Joshua 1-3; 5:10-10:15; 23; 1 Nephi 17:26-40</w:t>
      </w:r>
    </w:p>
    <w:p w14:paraId="333F9C96" w14:textId="222934A8" w:rsidR="00401C78" w:rsidRPr="004C7329" w:rsidRDefault="00401C78" w:rsidP="004C7329">
      <w:pPr>
        <w:pStyle w:val="NoSpacing"/>
        <w:jc w:val="center"/>
        <w:rPr>
          <w:rFonts w:ascii="Times New Roman" w:hAnsi="Times New Roman" w:cs="Times New Roman"/>
          <w:color w:val="0563C1" w:themeColor="hyperlink"/>
          <w:sz w:val="24"/>
          <w:szCs w:val="24"/>
          <w:u w:val="single"/>
        </w:rPr>
      </w:pPr>
      <w:r w:rsidRPr="004C7329">
        <w:rPr>
          <w:rFonts w:ascii="Times New Roman" w:hAnsi="Times New Roman" w:cs="Times New Roman"/>
          <w:sz w:val="24"/>
          <w:szCs w:val="24"/>
        </w:rPr>
        <w:t xml:space="preserve">Overview of Joshua </w:t>
      </w:r>
      <w:hyperlink r:id="rId5" w:history="1">
        <w:r w:rsidRPr="004C7329">
          <w:rPr>
            <w:rStyle w:val="Hyperlink"/>
            <w:rFonts w:ascii="Times New Roman" w:hAnsi="Times New Roman" w:cs="Times New Roman"/>
            <w:sz w:val="24"/>
            <w:szCs w:val="24"/>
          </w:rPr>
          <w:t>https://www.youtube.com/watch?v=JqOqJlFF_eU&amp;t=1s</w:t>
        </w:r>
      </w:hyperlink>
      <w:r w:rsidR="004C7329">
        <w:rPr>
          <w:rStyle w:val="Hyperlink"/>
          <w:rFonts w:ascii="Times New Roman" w:hAnsi="Times New Roman" w:cs="Times New Roman"/>
          <w:sz w:val="24"/>
          <w:szCs w:val="24"/>
        </w:rPr>
        <w:t xml:space="preserve"> </w:t>
      </w:r>
      <w:r w:rsidR="004C7329" w:rsidRPr="004C7329">
        <w:rPr>
          <w:rFonts w:ascii="Times New Roman" w:hAnsi="Times New Roman" w:cs="Times New Roman"/>
          <w:sz w:val="24"/>
          <w:szCs w:val="24"/>
        </w:rPr>
        <w:t>(8:47)</w:t>
      </w:r>
    </w:p>
    <w:p w14:paraId="6BB092C5" w14:textId="77777777" w:rsidR="004C7329" w:rsidRPr="008433A6" w:rsidRDefault="004C7329" w:rsidP="004C7329">
      <w:pPr>
        <w:pStyle w:val="BodyTextIndent"/>
        <w:pBdr>
          <w:bottom w:val="double" w:sz="6" w:space="1" w:color="auto"/>
        </w:pBdr>
        <w:ind w:left="720"/>
        <w:rPr>
          <w:rFonts w:ascii="Times New Roman" w:hAnsi="Times New Roman"/>
        </w:rPr>
      </w:pPr>
    </w:p>
    <w:p w14:paraId="0C188DFE" w14:textId="1E299F74" w:rsidR="00401C78" w:rsidRPr="00401C78" w:rsidRDefault="00401C78" w:rsidP="00D96516"/>
    <w:p w14:paraId="64382BB0" w14:textId="3DD6D745" w:rsidR="00750B11" w:rsidRPr="008433A6" w:rsidRDefault="00750B11" w:rsidP="00750B11">
      <w:pPr>
        <w:jc w:val="center"/>
        <w:rPr>
          <w:rFonts w:eastAsia="Times New Roman"/>
          <w:b/>
        </w:rPr>
      </w:pPr>
      <w:r w:rsidRPr="008433A6">
        <w:rPr>
          <w:rFonts w:eastAsia="Times New Roman"/>
          <w:b/>
        </w:rPr>
        <w:t>Basic Outline of the Book of Joshua</w:t>
      </w:r>
    </w:p>
    <w:p w14:paraId="59F0EAAF" w14:textId="77777777" w:rsidR="00750B11" w:rsidRPr="008433A6" w:rsidRDefault="00750B11" w:rsidP="00750B11">
      <w:pPr>
        <w:rPr>
          <w:rFonts w:eastAsia="Times New Roman"/>
          <w:b/>
        </w:rPr>
      </w:pPr>
    </w:p>
    <w:p w14:paraId="0A681D0F" w14:textId="77777777" w:rsidR="00750B11" w:rsidRPr="008433A6" w:rsidRDefault="00750B11" w:rsidP="00750B11">
      <w:pPr>
        <w:rPr>
          <w:rFonts w:eastAsia="Times New Roman"/>
        </w:rPr>
      </w:pPr>
      <w:r w:rsidRPr="008433A6">
        <w:rPr>
          <w:rFonts w:eastAsia="Times New Roman"/>
        </w:rPr>
        <w:t xml:space="preserve">I. </w:t>
      </w:r>
      <w:r>
        <w:rPr>
          <w:rFonts w:eastAsia="Times New Roman"/>
        </w:rPr>
        <w:t xml:space="preserve"> </w:t>
      </w:r>
      <w:r w:rsidRPr="008433A6">
        <w:rPr>
          <w:rFonts w:eastAsia="Times New Roman"/>
        </w:rPr>
        <w:t>Entering the Land (1:1-5:12)</w:t>
      </w:r>
    </w:p>
    <w:p w14:paraId="572F87FD" w14:textId="77777777" w:rsidR="00750B11" w:rsidRPr="008433A6" w:rsidRDefault="00750B11" w:rsidP="00750B11">
      <w:pPr>
        <w:ind w:left="720"/>
        <w:rPr>
          <w:rFonts w:eastAsia="Times New Roman"/>
        </w:rPr>
      </w:pPr>
    </w:p>
    <w:p w14:paraId="5580CFF2" w14:textId="77777777" w:rsidR="00750B11" w:rsidRPr="008433A6" w:rsidRDefault="00750B11" w:rsidP="00750B11">
      <w:pPr>
        <w:rPr>
          <w:rFonts w:eastAsia="Times New Roman"/>
        </w:rPr>
      </w:pPr>
      <w:r w:rsidRPr="008433A6">
        <w:rPr>
          <w:rFonts w:eastAsia="Times New Roman"/>
        </w:rPr>
        <w:t>II</w:t>
      </w:r>
      <w:proofErr w:type="gramStart"/>
      <w:r w:rsidRPr="008433A6">
        <w:rPr>
          <w:rFonts w:eastAsia="Times New Roman"/>
        </w:rPr>
        <w:t xml:space="preserve">. </w:t>
      </w:r>
      <w:r>
        <w:rPr>
          <w:rFonts w:eastAsia="Times New Roman"/>
        </w:rPr>
        <w:t xml:space="preserve"> </w:t>
      </w:r>
      <w:r w:rsidRPr="008433A6">
        <w:rPr>
          <w:rFonts w:eastAsia="Times New Roman"/>
        </w:rPr>
        <w:t>Conquering</w:t>
      </w:r>
      <w:proofErr w:type="gramEnd"/>
      <w:r w:rsidRPr="008433A6">
        <w:rPr>
          <w:rFonts w:eastAsia="Times New Roman"/>
        </w:rPr>
        <w:t xml:space="preserve"> the Land (5:13-12:24)</w:t>
      </w:r>
    </w:p>
    <w:p w14:paraId="49B66B5A" w14:textId="77777777" w:rsidR="00750B11" w:rsidRPr="008433A6" w:rsidRDefault="00750B11" w:rsidP="00750B11">
      <w:pPr>
        <w:ind w:left="720"/>
        <w:rPr>
          <w:rFonts w:eastAsia="Times New Roman"/>
        </w:rPr>
      </w:pPr>
    </w:p>
    <w:p w14:paraId="76413FDF" w14:textId="77777777" w:rsidR="00750B11" w:rsidRPr="008433A6" w:rsidRDefault="00750B11" w:rsidP="00750B11">
      <w:pPr>
        <w:rPr>
          <w:rFonts w:eastAsia="Times New Roman"/>
        </w:rPr>
      </w:pPr>
      <w:r w:rsidRPr="008433A6">
        <w:rPr>
          <w:rFonts w:eastAsia="Times New Roman"/>
        </w:rPr>
        <w:t>III</w:t>
      </w:r>
      <w:proofErr w:type="gramStart"/>
      <w:r w:rsidRPr="008433A6">
        <w:rPr>
          <w:rFonts w:eastAsia="Times New Roman"/>
        </w:rPr>
        <w:t xml:space="preserve">. </w:t>
      </w:r>
      <w:r>
        <w:rPr>
          <w:rFonts w:eastAsia="Times New Roman"/>
        </w:rPr>
        <w:t xml:space="preserve"> </w:t>
      </w:r>
      <w:r w:rsidRPr="008433A6">
        <w:rPr>
          <w:rFonts w:eastAsia="Times New Roman"/>
        </w:rPr>
        <w:t>Allotment</w:t>
      </w:r>
      <w:proofErr w:type="gramEnd"/>
      <w:r w:rsidRPr="008433A6">
        <w:rPr>
          <w:rFonts w:eastAsia="Times New Roman"/>
        </w:rPr>
        <w:t xml:space="preserve"> of the Land (13:1-21:45)</w:t>
      </w:r>
    </w:p>
    <w:p w14:paraId="403C4898" w14:textId="77777777" w:rsidR="00750B11" w:rsidRPr="008433A6" w:rsidRDefault="00750B11" w:rsidP="00750B11">
      <w:pPr>
        <w:ind w:left="720"/>
        <w:rPr>
          <w:rFonts w:eastAsia="Times New Roman"/>
        </w:rPr>
      </w:pPr>
    </w:p>
    <w:p w14:paraId="63B9CF5A" w14:textId="77777777" w:rsidR="00750B11" w:rsidRPr="008433A6" w:rsidRDefault="00750B11" w:rsidP="00750B11">
      <w:pPr>
        <w:rPr>
          <w:rFonts w:eastAsia="Times New Roman"/>
        </w:rPr>
      </w:pPr>
      <w:r w:rsidRPr="008433A6">
        <w:rPr>
          <w:rFonts w:eastAsia="Times New Roman"/>
        </w:rPr>
        <w:t>IV</w:t>
      </w:r>
      <w:proofErr w:type="gramStart"/>
      <w:r w:rsidRPr="008433A6">
        <w:rPr>
          <w:rFonts w:eastAsia="Times New Roman"/>
        </w:rPr>
        <w:t xml:space="preserve">. </w:t>
      </w:r>
      <w:r>
        <w:rPr>
          <w:rFonts w:eastAsia="Times New Roman"/>
        </w:rPr>
        <w:t xml:space="preserve"> </w:t>
      </w:r>
      <w:r w:rsidRPr="008433A6">
        <w:rPr>
          <w:rFonts w:eastAsia="Times New Roman"/>
        </w:rPr>
        <w:t>Epilogue</w:t>
      </w:r>
      <w:proofErr w:type="gramEnd"/>
      <w:r w:rsidRPr="008433A6">
        <w:rPr>
          <w:rFonts w:eastAsia="Times New Roman"/>
        </w:rPr>
        <w:t xml:space="preserve"> (22:1-24:33)</w:t>
      </w:r>
    </w:p>
    <w:p w14:paraId="6A548B41" w14:textId="77777777" w:rsidR="00750B11" w:rsidRPr="008433A6" w:rsidRDefault="00750B11" w:rsidP="00750B11">
      <w:pPr>
        <w:ind w:left="720"/>
        <w:rPr>
          <w:rFonts w:eastAsia="Times New Roman"/>
        </w:rPr>
      </w:pPr>
      <w:r w:rsidRPr="008433A6">
        <w:rPr>
          <w:rFonts w:eastAsia="Times New Roman"/>
        </w:rPr>
        <w:t>A. The Altar of Witness by the Jordan (22:1-34)</w:t>
      </w:r>
    </w:p>
    <w:p w14:paraId="486F3B77" w14:textId="77777777" w:rsidR="00750B11" w:rsidRPr="008433A6" w:rsidRDefault="00750B11" w:rsidP="00750B11">
      <w:pPr>
        <w:ind w:left="720"/>
        <w:rPr>
          <w:rFonts w:eastAsia="Times New Roman"/>
        </w:rPr>
      </w:pPr>
      <w:r w:rsidRPr="008433A6">
        <w:rPr>
          <w:rFonts w:eastAsia="Times New Roman"/>
        </w:rPr>
        <w:t>B. Joshua’s Farewell Address (23:1-16)</w:t>
      </w:r>
    </w:p>
    <w:p w14:paraId="6E4931EC" w14:textId="77777777" w:rsidR="00750B11" w:rsidRPr="008433A6" w:rsidRDefault="00750B11" w:rsidP="00750B11">
      <w:pPr>
        <w:ind w:left="720"/>
        <w:rPr>
          <w:rFonts w:eastAsia="Times New Roman"/>
        </w:rPr>
      </w:pPr>
      <w:r w:rsidRPr="008433A6">
        <w:rPr>
          <w:rFonts w:eastAsia="Times New Roman"/>
        </w:rPr>
        <w:t xml:space="preserve">C. Covenant Renewal at </w:t>
      </w:r>
      <w:proofErr w:type="spellStart"/>
      <w:r w:rsidRPr="008433A6">
        <w:rPr>
          <w:rFonts w:eastAsia="Times New Roman"/>
        </w:rPr>
        <w:t>Shechem</w:t>
      </w:r>
      <w:proofErr w:type="spellEnd"/>
      <w:r w:rsidRPr="008433A6">
        <w:rPr>
          <w:rFonts w:eastAsia="Times New Roman"/>
        </w:rPr>
        <w:t xml:space="preserve"> (24:1-28)</w:t>
      </w:r>
    </w:p>
    <w:p w14:paraId="090D27F1" w14:textId="77777777" w:rsidR="00750B11" w:rsidRPr="006F0D8E" w:rsidRDefault="00750B11" w:rsidP="006F0D8E">
      <w:pPr>
        <w:ind w:left="720"/>
        <w:rPr>
          <w:rFonts w:eastAsia="Times New Roman"/>
        </w:rPr>
      </w:pPr>
      <w:r w:rsidRPr="008433A6">
        <w:rPr>
          <w:rFonts w:eastAsia="Times New Roman"/>
        </w:rPr>
        <w:t xml:space="preserve">D. The Deaths of Joshua and </w:t>
      </w:r>
      <w:proofErr w:type="spellStart"/>
      <w:proofErr w:type="gramStart"/>
      <w:r w:rsidRPr="008433A6">
        <w:rPr>
          <w:rFonts w:eastAsia="Times New Roman"/>
        </w:rPr>
        <w:t>Eleazar</w:t>
      </w:r>
      <w:proofErr w:type="spellEnd"/>
      <w:r w:rsidRPr="008433A6">
        <w:rPr>
          <w:rFonts w:eastAsia="Times New Roman"/>
        </w:rPr>
        <w:t xml:space="preserve">  (</w:t>
      </w:r>
      <w:proofErr w:type="gramEnd"/>
      <w:r w:rsidRPr="008433A6">
        <w:rPr>
          <w:rFonts w:eastAsia="Times New Roman"/>
        </w:rPr>
        <w:t>24:29-33)</w:t>
      </w:r>
    </w:p>
    <w:p w14:paraId="34A0A5EE" w14:textId="77777777" w:rsidR="00401C78" w:rsidRDefault="00401C78" w:rsidP="0036639E"/>
    <w:p w14:paraId="7D150C4A" w14:textId="70F9A7A0" w:rsidR="0036639E" w:rsidRDefault="0036639E" w:rsidP="0036639E">
      <w:r>
        <w:t xml:space="preserve">The purpose of the book of Joshua is summarized nicely in Joshua 21:43-45: “So the Lord gave Israel all the </w:t>
      </w:r>
      <w:proofErr w:type="gramStart"/>
      <w:r>
        <w:t>land, . . .</w:t>
      </w:r>
      <w:proofErr w:type="gramEnd"/>
      <w:r>
        <w:t xml:space="preserve"> and they took possession of it and settled there. The Lord gave them rest on every side. . . . The Lord handed all their enemies over to them. Not one of all the Lord’s good promises to the house of Israel failed; </w:t>
      </w:r>
      <w:proofErr w:type="spellStart"/>
      <w:r>
        <w:t>every one</w:t>
      </w:r>
      <w:proofErr w:type="spellEnd"/>
      <w:r>
        <w:t xml:space="preserve"> was fulfilled.” This book shows how God kept his covenant promise to give the land to Israel. The message is that God keeps his promises, no matter how impossible they may seem.</w:t>
      </w:r>
    </w:p>
    <w:p w14:paraId="10EADC8B" w14:textId="1D1B85BB" w:rsidR="00DD3B66" w:rsidRDefault="00DD3B66" w:rsidP="0036639E"/>
    <w:p w14:paraId="2EE28B59" w14:textId="34711E16" w:rsidR="00DD3B66" w:rsidRPr="004470C7" w:rsidRDefault="004470C7" w:rsidP="004470C7">
      <w:r>
        <w:t>The book emphasizes:</w:t>
      </w:r>
    </w:p>
    <w:p w14:paraId="4408A79A" w14:textId="77777777" w:rsidR="00DD3B66" w:rsidRDefault="00DD3B66" w:rsidP="00DD3B66">
      <w:pPr>
        <w:pStyle w:val="ListParagraph"/>
        <w:numPr>
          <w:ilvl w:val="0"/>
          <w:numId w:val="2"/>
        </w:numPr>
      </w:pPr>
      <w:r>
        <w:t>The faithfulness of God in fulfilling covenant promises</w:t>
      </w:r>
    </w:p>
    <w:p w14:paraId="1B12A9B9" w14:textId="77777777" w:rsidR="00DD3B66" w:rsidRDefault="00DD3B66" w:rsidP="00DD3B66">
      <w:pPr>
        <w:pStyle w:val="ListParagraph"/>
        <w:numPr>
          <w:ilvl w:val="0"/>
          <w:numId w:val="2"/>
        </w:numPr>
      </w:pPr>
      <w:r>
        <w:t>The conquest and apportionment of the land</w:t>
      </w:r>
    </w:p>
    <w:p w14:paraId="3A605BF2" w14:textId="3DA5AF38" w:rsidR="0036639E" w:rsidRDefault="00DD3B66" w:rsidP="00750B11">
      <w:pPr>
        <w:pStyle w:val="ListParagraph"/>
        <w:numPr>
          <w:ilvl w:val="0"/>
          <w:numId w:val="2"/>
        </w:numPr>
      </w:pPr>
      <w:r>
        <w:t>The importance of o</w:t>
      </w:r>
      <w:r w:rsidR="00306B3A">
        <w:t>beying the Lord’s Torah</w:t>
      </w:r>
    </w:p>
    <w:p w14:paraId="183FD3F5" w14:textId="13D49E53" w:rsidR="00306B3A" w:rsidRDefault="00306B3A" w:rsidP="00750B11">
      <w:pPr>
        <w:pStyle w:val="ListParagraph"/>
        <w:numPr>
          <w:ilvl w:val="0"/>
          <w:numId w:val="2"/>
        </w:numPr>
      </w:pPr>
      <w:r>
        <w:t>The Promised Land is YHWH’s gift</w:t>
      </w:r>
    </w:p>
    <w:p w14:paraId="5ECAA49A" w14:textId="098B0742" w:rsidR="00306B3A" w:rsidRDefault="00306B3A" w:rsidP="00750B11">
      <w:pPr>
        <w:pStyle w:val="ListParagraph"/>
        <w:numPr>
          <w:ilvl w:val="0"/>
          <w:numId w:val="2"/>
        </w:numPr>
      </w:pPr>
      <w:r>
        <w:t>The importance of remembering and memorials</w:t>
      </w:r>
    </w:p>
    <w:p w14:paraId="35A215B7" w14:textId="07F4E56B" w:rsidR="00306B3A" w:rsidRDefault="00306B3A" w:rsidP="00750B11">
      <w:pPr>
        <w:pStyle w:val="ListParagraph"/>
        <w:numPr>
          <w:ilvl w:val="0"/>
          <w:numId w:val="2"/>
        </w:numPr>
      </w:pPr>
      <w:r>
        <w:t>The importance of Godly leadership</w:t>
      </w:r>
    </w:p>
    <w:p w14:paraId="1D5AA2F5" w14:textId="77777777" w:rsidR="0036639E" w:rsidRPr="008433A6" w:rsidRDefault="0036639E" w:rsidP="0036639E">
      <w:pPr>
        <w:pStyle w:val="BodyTextIndent"/>
        <w:pBdr>
          <w:bottom w:val="double" w:sz="6" w:space="1" w:color="auto"/>
        </w:pBdr>
        <w:ind w:left="720"/>
        <w:rPr>
          <w:rFonts w:ascii="Times New Roman" w:hAnsi="Times New Roman"/>
        </w:rPr>
      </w:pPr>
    </w:p>
    <w:p w14:paraId="235F62B6" w14:textId="02BA0F05" w:rsidR="0036639E" w:rsidRPr="008433A6" w:rsidRDefault="0036639E" w:rsidP="00750B11"/>
    <w:p w14:paraId="20859615" w14:textId="31E78ED3" w:rsidR="00223E42" w:rsidRPr="00401C78" w:rsidRDefault="00223E42" w:rsidP="00401C78">
      <w:pPr>
        <w:jc w:val="center"/>
        <w:rPr>
          <w:b/>
        </w:rPr>
      </w:pPr>
      <w:r w:rsidRPr="008433A6">
        <w:rPr>
          <w:b/>
        </w:rPr>
        <w:t>Historical Background of Israel</w:t>
      </w:r>
    </w:p>
    <w:p w14:paraId="5CD77669" w14:textId="69B1D751" w:rsidR="00223E42" w:rsidRPr="008433A6" w:rsidRDefault="00223E42" w:rsidP="00401C78">
      <w:pPr>
        <w:ind w:firstLine="360"/>
      </w:pPr>
      <w:r w:rsidRPr="008433A6">
        <w:t xml:space="preserve">Jehovah chose Joshua to lead the new generation of Israelites across the Jordan River into the land of Canaan (Josh. 1-4; cf. 1 Ne. 17:32).  The conquest and displacement of Canaanites under Joshua leadership gave the Israelites control of the north-south ridge of hill country in the land of Canaan, but left the Canaanites in control of the major valleys.  The Book of Joshua and Judges 1 report the Israelite conquest of Canaan and the allotment of territories to the various tribes.  Although there is disagreement over the date of the Exodus and Conquest (ca. 1440/1400 or ca. 1270/1230 B.C.), by the end of the thirteenth century B.C. Canaan had slipped from Egyptian control and the Israelites were established in the land.  Israel’s neighbors were also establishing themselves in this general time period:  the Semitic </w:t>
      </w:r>
      <w:proofErr w:type="spellStart"/>
      <w:r w:rsidRPr="008433A6">
        <w:t>Edomites</w:t>
      </w:r>
      <w:proofErr w:type="spellEnd"/>
      <w:r w:rsidRPr="008433A6">
        <w:t xml:space="preserve">, Moabites and Ammonites (in what is modern Jordan; ca. 1300 B.C.) and the non-Semitic Philistines, with origins in the Aegean area, settling along the south eastern Mediterranean coastal plain (Bible Maps 3, 10; ca. 1200 </w:t>
      </w:r>
      <w:r w:rsidRPr="008433A6">
        <w:lastRenderedPageBreak/>
        <w:t xml:space="preserve">B.C.).  The earliest non-biblical reference to the Israelites occurs in a victory hymn from the Egyptian king </w:t>
      </w:r>
      <w:proofErr w:type="spellStart"/>
      <w:r w:rsidRPr="008433A6">
        <w:t>Merneptah</w:t>
      </w:r>
      <w:proofErr w:type="spellEnd"/>
      <w:r w:rsidRPr="008433A6">
        <w:t>, dating ca. 1210 B.C., which includes the baseless boast that he had destroyed the Israelites in the land of Canaan (Pritchard, 376-378).</w:t>
      </w:r>
    </w:p>
    <w:p w14:paraId="50E67E53" w14:textId="77777777" w:rsidR="00223E42" w:rsidRPr="008433A6" w:rsidRDefault="00223E42" w:rsidP="00223E42">
      <w:pPr>
        <w:jc w:val="right"/>
        <w:rPr>
          <w:sz w:val="20"/>
        </w:rPr>
      </w:pPr>
      <w:r w:rsidRPr="008433A6">
        <w:rPr>
          <w:sz w:val="20"/>
        </w:rPr>
        <w:t xml:space="preserve">Dana M. Pike, “Israel, Historical Background of,” in Dennis </w:t>
      </w:r>
      <w:proofErr w:type="spellStart"/>
      <w:r w:rsidRPr="008433A6">
        <w:rPr>
          <w:sz w:val="20"/>
        </w:rPr>
        <w:t>Largey</w:t>
      </w:r>
      <w:proofErr w:type="spellEnd"/>
      <w:r w:rsidRPr="008433A6">
        <w:rPr>
          <w:sz w:val="20"/>
        </w:rPr>
        <w:t>, ed</w:t>
      </w:r>
      <w:proofErr w:type="gramStart"/>
      <w:r w:rsidRPr="008433A6">
        <w:rPr>
          <w:sz w:val="20"/>
        </w:rPr>
        <w:t>.,</w:t>
      </w:r>
      <w:proofErr w:type="gramEnd"/>
      <w:r w:rsidRPr="008433A6">
        <w:rPr>
          <w:sz w:val="20"/>
        </w:rPr>
        <w:t xml:space="preserve"> </w:t>
      </w:r>
    </w:p>
    <w:p w14:paraId="35890A5F" w14:textId="77777777" w:rsidR="00223E42" w:rsidRPr="008433A6" w:rsidRDefault="00223E42" w:rsidP="00223E42">
      <w:pPr>
        <w:jc w:val="right"/>
        <w:rPr>
          <w:sz w:val="20"/>
        </w:rPr>
      </w:pPr>
      <w:r w:rsidRPr="008433A6">
        <w:rPr>
          <w:i/>
          <w:sz w:val="20"/>
        </w:rPr>
        <w:t>Book of Mormon Reference Companion</w:t>
      </w:r>
      <w:r w:rsidRPr="008433A6">
        <w:rPr>
          <w:sz w:val="20"/>
        </w:rPr>
        <w:t xml:space="preserve"> (2003; Deseret), 409.</w:t>
      </w:r>
    </w:p>
    <w:p w14:paraId="655FBEA5" w14:textId="77777777" w:rsidR="00223E42" w:rsidRPr="008433A6" w:rsidRDefault="00223E42" w:rsidP="00223E42">
      <w:pPr>
        <w:pBdr>
          <w:bottom w:val="double" w:sz="6" w:space="1" w:color="auto"/>
        </w:pBdr>
      </w:pPr>
    </w:p>
    <w:p w14:paraId="25219B81" w14:textId="77777777" w:rsidR="00223E42" w:rsidRPr="008433A6" w:rsidRDefault="00223E42" w:rsidP="00223E42"/>
    <w:p w14:paraId="584A7664" w14:textId="5DAD90FD" w:rsidR="00223E42" w:rsidRPr="00401C78" w:rsidRDefault="00223E42" w:rsidP="00401C78">
      <w:pPr>
        <w:widowControl w:val="0"/>
        <w:autoSpaceDE w:val="0"/>
        <w:autoSpaceDN w:val="0"/>
        <w:adjustRightInd w:val="0"/>
        <w:jc w:val="center"/>
        <w:rPr>
          <w:rFonts w:cs="Chaucer"/>
          <w:b/>
          <w:szCs w:val="40"/>
        </w:rPr>
      </w:pPr>
      <w:r w:rsidRPr="008433A6">
        <w:rPr>
          <w:rFonts w:cs="Chaucer"/>
          <w:b/>
          <w:szCs w:val="40"/>
        </w:rPr>
        <w:t xml:space="preserve">The </w:t>
      </w:r>
      <w:proofErr w:type="spellStart"/>
      <w:r w:rsidRPr="008433A6">
        <w:rPr>
          <w:rFonts w:cs="Chaucer"/>
          <w:b/>
          <w:szCs w:val="40"/>
        </w:rPr>
        <w:t>Deuteronomistic</w:t>
      </w:r>
      <w:proofErr w:type="spellEnd"/>
      <w:r w:rsidRPr="008433A6">
        <w:rPr>
          <w:rFonts w:cs="Chaucer"/>
          <w:b/>
          <w:szCs w:val="40"/>
        </w:rPr>
        <w:t xml:space="preserve"> History</w:t>
      </w:r>
    </w:p>
    <w:p w14:paraId="3BACB12C" w14:textId="77777777" w:rsidR="00223E42" w:rsidRPr="008433A6" w:rsidRDefault="00223E42" w:rsidP="00223E42">
      <w:pPr>
        <w:widowControl w:val="0"/>
        <w:autoSpaceDE w:val="0"/>
        <w:autoSpaceDN w:val="0"/>
        <w:adjustRightInd w:val="0"/>
        <w:ind w:firstLine="360"/>
        <w:rPr>
          <w:rFonts w:cs="Chaucer"/>
          <w:szCs w:val="17"/>
        </w:rPr>
      </w:pPr>
      <w:r w:rsidRPr="008433A6">
        <w:rPr>
          <w:rFonts w:cs="Chaucer"/>
          <w:szCs w:val="71"/>
        </w:rPr>
        <w:t>S</w:t>
      </w:r>
      <w:r w:rsidRPr="008433A6">
        <w:rPr>
          <w:rFonts w:cs="Chaucer"/>
          <w:szCs w:val="17"/>
        </w:rPr>
        <w:t>cholars use the phrase “</w:t>
      </w:r>
      <w:proofErr w:type="spellStart"/>
      <w:r w:rsidRPr="008433A6">
        <w:rPr>
          <w:rFonts w:cs="Chaucer"/>
          <w:szCs w:val="17"/>
        </w:rPr>
        <w:t>Deuteronomistic</w:t>
      </w:r>
      <w:proofErr w:type="spellEnd"/>
      <w:r w:rsidRPr="008433A6">
        <w:rPr>
          <w:rFonts w:cs="Chaucer"/>
          <w:szCs w:val="17"/>
        </w:rPr>
        <w:t xml:space="preserve"> History” to designate the books of Deuteronomy through 2 Kings.  This is because the historical books of Joshua, Judges, 1 and 2 Samuel (to a lesser extent), and 1 and 2 Kings employ the terminology of Deuteronomy and share a similar perspective on what was acceptable to Jehovah.  The books of Kings were compiled toward the end of the Israelite monarchy (late-seventh century </w:t>
      </w:r>
      <w:r w:rsidRPr="008433A6">
        <w:rPr>
          <w:rFonts w:cs="Chaucer"/>
          <w:szCs w:val="12"/>
        </w:rPr>
        <w:t>BC</w:t>
      </w:r>
      <w:r w:rsidRPr="008433A6">
        <w:rPr>
          <w:rFonts w:cs="Chaucer"/>
          <w:szCs w:val="17"/>
        </w:rPr>
        <w:t xml:space="preserve">) and finished during the Babylonian exile.  Scholars assume the books of Joshua and Judges, in the form we currently have them, were also produced about this time.  Together, these books provide a historical overview of six centuries (about 1200–560 </w:t>
      </w:r>
      <w:r w:rsidRPr="008433A6">
        <w:rPr>
          <w:rFonts w:cs="Chaucer"/>
          <w:szCs w:val="12"/>
        </w:rPr>
        <w:t>BC</w:t>
      </w:r>
      <w:r w:rsidRPr="008433A6">
        <w:rPr>
          <w:rFonts w:cs="Chaucer"/>
          <w:szCs w:val="17"/>
        </w:rPr>
        <w:t xml:space="preserve">), charting how the Lord had blessed Israel and explaining how the Israelites had digressed to their sixth-century predicament—the conquest of their kingdoms, the destruction of their Temple in Jerusalem, and the death or exile of tens of thousands of people.  Unfortunately, the Bible does not indicate who was specifically responsible for compiling and redacting this historical information (contrast the Book of Mormon, in which Mormon’s identity, purpose, and orientation are clearly indicated). </w:t>
      </w:r>
    </w:p>
    <w:p w14:paraId="39863602" w14:textId="745FD4E5" w:rsidR="00223E42" w:rsidRPr="008433A6" w:rsidRDefault="00223E42" w:rsidP="004C7329">
      <w:pPr>
        <w:widowControl w:val="0"/>
        <w:autoSpaceDE w:val="0"/>
        <w:autoSpaceDN w:val="0"/>
        <w:adjustRightInd w:val="0"/>
        <w:ind w:firstLine="360"/>
      </w:pPr>
      <w:r w:rsidRPr="008433A6">
        <w:rPr>
          <w:rFonts w:cs="Chaucer"/>
          <w:szCs w:val="17"/>
        </w:rPr>
        <w:t>The books of Judges through Kings read as historical narrative presented within a political framework, but their primary purpose is to make a religious statement, based on the major themes contained in Deuteronomy:  Jehovah chose Israel for important opportunities and obligations; Israel must display love for Jehovah through loyalty to him alone; Israel cannot chase after “other gods”; obeying Jehovah brings life, freedom, and prosperity of every kind; disobedience and sin—especially the worship of “other gods”—brings political oppression and death; Israel is granted residence in the promised land as long as they are loyal to their divine landlord.  All this, of course, was based on the covenant the Israelites made with Jehovah at Mount Sinai/</w:t>
      </w:r>
      <w:proofErr w:type="spellStart"/>
      <w:r w:rsidRPr="008433A6">
        <w:rPr>
          <w:rFonts w:cs="Chaucer"/>
          <w:szCs w:val="17"/>
        </w:rPr>
        <w:t>Horeb</w:t>
      </w:r>
      <w:proofErr w:type="spellEnd"/>
      <w:r w:rsidRPr="008433A6">
        <w:rPr>
          <w:rFonts w:cs="Chaucer"/>
          <w:szCs w:val="17"/>
        </w:rPr>
        <w:t>.</w:t>
      </w:r>
    </w:p>
    <w:p w14:paraId="6CD2D067" w14:textId="77777777" w:rsidR="00223E42" w:rsidRPr="008433A6" w:rsidRDefault="00223E42" w:rsidP="00223E42">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147.</w:t>
      </w:r>
    </w:p>
    <w:p w14:paraId="6E91EBE9" w14:textId="77777777" w:rsidR="00223E42" w:rsidRDefault="00223E42" w:rsidP="00223E42"/>
    <w:p w14:paraId="6F144A72" w14:textId="77777777" w:rsidR="003C06B9" w:rsidRDefault="003C06B9" w:rsidP="001C196A">
      <w:pPr>
        <w:ind w:firstLine="360"/>
      </w:pPr>
      <w:r>
        <w:t xml:space="preserve">In composing that history, the </w:t>
      </w:r>
      <w:proofErr w:type="spellStart"/>
      <w:r>
        <w:t>Deuteronomistic</w:t>
      </w:r>
      <w:proofErr w:type="spellEnd"/>
      <w:r>
        <w:t xml:space="preserve"> Historians made use of earlier sources, some of which they mention but that no longer exist. These include “the Book of </w:t>
      </w:r>
      <w:proofErr w:type="spellStart"/>
      <w:r>
        <w:t>Jashar</w:t>
      </w:r>
      <w:proofErr w:type="spellEnd"/>
      <w:r>
        <w:t xml:space="preserve">” (Josh 10.13; 2 Sam 1.18), “the Book of the Acts of Solomon” (1 Kings 11.41), “the Book of the Annals of the Kings of Israel” (1 Kings 14.19; etc.), and “the book of the Annals of the Kings of Judah” (1 Kings 14.29; etc.). In using these named and may other unnamed sources, which not infrequently present very different views, the </w:t>
      </w:r>
      <w:proofErr w:type="spellStart"/>
      <w:r>
        <w:t>Deuteornomistic</w:t>
      </w:r>
      <w:proofErr w:type="spellEnd"/>
      <w:r>
        <w:t xml:space="preserve"> Historians were more interested in setting down the traditions found in their sources than in a superficial consistency. . . . Covering Israel’s history for over six centuries, the </w:t>
      </w:r>
      <w:proofErr w:type="spellStart"/>
      <w:r>
        <w:t>Deuteronomistic</w:t>
      </w:r>
      <w:proofErr w:type="spellEnd"/>
      <w:r>
        <w:t xml:space="preserve"> History is the earliest extended historical narrative known from antiquity, and it is a complex and subtle document.</w:t>
      </w:r>
    </w:p>
    <w:p w14:paraId="7878DA8B" w14:textId="77777777" w:rsidR="003C06B9" w:rsidRPr="006F0D8E" w:rsidRDefault="006F0D8E" w:rsidP="003C06B9">
      <w:pPr>
        <w:jc w:val="right"/>
        <w:rPr>
          <w:sz w:val="20"/>
          <w:szCs w:val="20"/>
        </w:rPr>
      </w:pPr>
      <w:r w:rsidRPr="006F0D8E">
        <w:rPr>
          <w:sz w:val="20"/>
          <w:szCs w:val="20"/>
        </w:rPr>
        <w:t xml:space="preserve">Michael D. </w:t>
      </w:r>
      <w:proofErr w:type="spellStart"/>
      <w:r w:rsidR="003C06B9" w:rsidRPr="006F0D8E">
        <w:rPr>
          <w:sz w:val="20"/>
          <w:szCs w:val="20"/>
        </w:rPr>
        <w:t>Coogan</w:t>
      </w:r>
      <w:proofErr w:type="spellEnd"/>
      <w:r w:rsidRPr="006F0D8E">
        <w:rPr>
          <w:sz w:val="20"/>
          <w:szCs w:val="20"/>
        </w:rPr>
        <w:t>,</w:t>
      </w:r>
      <w:r w:rsidR="003C06B9" w:rsidRPr="006F0D8E">
        <w:rPr>
          <w:sz w:val="20"/>
          <w:szCs w:val="20"/>
        </w:rPr>
        <w:t xml:space="preserve"> </w:t>
      </w:r>
      <w:r w:rsidR="003C06B9" w:rsidRPr="006F0D8E">
        <w:rPr>
          <w:i/>
          <w:sz w:val="20"/>
          <w:szCs w:val="20"/>
        </w:rPr>
        <w:t>the Old Testament</w:t>
      </w:r>
      <w:r w:rsidR="003C06B9" w:rsidRPr="006F0D8E">
        <w:rPr>
          <w:sz w:val="20"/>
          <w:szCs w:val="20"/>
        </w:rPr>
        <w:t xml:space="preserve"> 197</w:t>
      </w:r>
    </w:p>
    <w:p w14:paraId="6DCB004B" w14:textId="6CF26D7A" w:rsidR="003C06B9" w:rsidRPr="008433A6" w:rsidRDefault="003C06B9" w:rsidP="00223E42"/>
    <w:p w14:paraId="1F4357C4" w14:textId="717D4951" w:rsidR="00223E42" w:rsidRPr="008433A6" w:rsidRDefault="00223E42" w:rsidP="009F2FBC">
      <w:pPr>
        <w:jc w:val="center"/>
      </w:pPr>
      <w:r>
        <w:rPr>
          <w:noProof/>
        </w:rPr>
        <w:lastRenderedPageBreak/>
        <w:drawing>
          <wp:inline distT="0" distB="0" distL="0" distR="0" wp14:anchorId="29355A46" wp14:editId="71417516">
            <wp:extent cx="4941984" cy="1409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srcRect/>
                    <a:stretch>
                      <a:fillRect/>
                    </a:stretch>
                  </pic:blipFill>
                  <pic:spPr bwMode="auto">
                    <a:xfrm>
                      <a:off x="0" y="0"/>
                      <a:ext cx="5015234" cy="1430595"/>
                    </a:xfrm>
                    <a:prstGeom prst="rect">
                      <a:avLst/>
                    </a:prstGeom>
                    <a:noFill/>
                    <a:ln w="9525">
                      <a:noFill/>
                      <a:miter lim="800000"/>
                      <a:headEnd/>
                      <a:tailEnd/>
                    </a:ln>
                  </pic:spPr>
                </pic:pic>
              </a:graphicData>
            </a:graphic>
          </wp:inline>
        </w:drawing>
      </w:r>
    </w:p>
    <w:p w14:paraId="758AB9E4" w14:textId="77777777" w:rsidR="00223E42" w:rsidRPr="008433A6" w:rsidRDefault="00223E42" w:rsidP="00223E42">
      <w:pPr>
        <w:pBdr>
          <w:bottom w:val="double" w:sz="6" w:space="1" w:color="auto"/>
        </w:pBdr>
      </w:pPr>
    </w:p>
    <w:p w14:paraId="660A48CD" w14:textId="77777777" w:rsidR="006F0D8E" w:rsidRDefault="006F0D8E" w:rsidP="00223E42"/>
    <w:p w14:paraId="619680EB" w14:textId="29A915D1" w:rsidR="00BC6722" w:rsidRPr="00401C78" w:rsidRDefault="00BC6722" w:rsidP="00401C78">
      <w:pPr>
        <w:jc w:val="center"/>
        <w:rPr>
          <w:b/>
        </w:rPr>
      </w:pPr>
      <w:r w:rsidRPr="006F0D8E">
        <w:rPr>
          <w:b/>
        </w:rPr>
        <w:t xml:space="preserve">Concept of History in Israel and the Ancient </w:t>
      </w:r>
      <w:proofErr w:type="gramStart"/>
      <w:r w:rsidRPr="006F0D8E">
        <w:rPr>
          <w:b/>
        </w:rPr>
        <w:t>Near</w:t>
      </w:r>
      <w:proofErr w:type="gramEnd"/>
      <w:r w:rsidRPr="006F0D8E">
        <w:rPr>
          <w:b/>
        </w:rPr>
        <w:t xml:space="preserve"> East</w:t>
      </w:r>
    </w:p>
    <w:p w14:paraId="51369723" w14:textId="77777777" w:rsidR="001C196A" w:rsidRDefault="006A3398" w:rsidP="001C196A">
      <w:pPr>
        <w:ind w:firstLine="360"/>
      </w:pPr>
      <w:r>
        <w:t>“</w:t>
      </w:r>
      <w:proofErr w:type="gramStart"/>
      <w:r>
        <w:t>cause</w:t>
      </w:r>
      <w:proofErr w:type="gramEnd"/>
      <w:r>
        <w:t xml:space="preserve"> and effect in the world the ancient Near East is viewed almost entirely in supernatural terms. . . . the greater emphasis [is] on recurring patterns of history . . . In the ancient Near East, the key to the patterns of historical recurrence was sought out by use of omens . . . if one could record unusual occurrences in nature that happened around the time of a particular event, it would be possible to use those data to know when a similar event would recur. . . . History and theology merged because belief in supernatural cause and effect in history prompted ritual activity. The fact that deity was believed to play such a central role in the historical events of the ancient Near East, combined with the arbitrary and capricious nature of deity, made the omen system necessary. In contrast, the monotheism of the Israelites greatly simplified the matter. They did not have to concern themselves with dozens of deities who might influence history with no discernible rhyme or reason. Furthermore, divination, omens, and incantations were prohibited to Israelites by the law; therefore, given the recurrence worldview, they saw the need to conform to the covenant and keep the law (rather than relying on certain rituals) in order to exert some control over history. Yahweh was defined by his attributes, which were constant, and he had committed himself to specific obligations through the covenant. As a result, theology and history merged in Israel, not through ritual, but through the covenant. The actions of deity could not be predicted, altered, or in any way manipulated by ritual. Rather, whenever Israel was unfaithful to the </w:t>
      </w:r>
      <w:r w:rsidR="006F0D8E">
        <w:t>covenant</w:t>
      </w:r>
      <w:r>
        <w:t xml:space="preserve">, the Lord could be expected to punish in accordance with the covenant. Human activity and decision fall into particular patterns, and to some extent, God’s cause-and-effect activity in history follows corresponding patters” </w:t>
      </w:r>
    </w:p>
    <w:p w14:paraId="65DCA6CA" w14:textId="68F66A3B" w:rsidR="00BC6722" w:rsidRPr="001C196A" w:rsidRDefault="001C196A" w:rsidP="001C196A">
      <w:pPr>
        <w:jc w:val="right"/>
        <w:rPr>
          <w:sz w:val="20"/>
          <w:szCs w:val="20"/>
        </w:rPr>
      </w:pPr>
      <w:r w:rsidRPr="001C196A">
        <w:rPr>
          <w:sz w:val="20"/>
          <w:szCs w:val="20"/>
        </w:rPr>
        <w:t xml:space="preserve">Andrew E. </w:t>
      </w:r>
      <w:r w:rsidR="006A3398" w:rsidRPr="001C196A">
        <w:rPr>
          <w:sz w:val="20"/>
          <w:szCs w:val="20"/>
        </w:rPr>
        <w:t xml:space="preserve">Hill and </w:t>
      </w:r>
      <w:r w:rsidRPr="001C196A">
        <w:rPr>
          <w:sz w:val="20"/>
          <w:szCs w:val="20"/>
        </w:rPr>
        <w:t xml:space="preserve">John H. Walton, </w:t>
      </w:r>
      <w:proofErr w:type="gramStart"/>
      <w:r w:rsidRPr="001C196A">
        <w:rPr>
          <w:i/>
          <w:sz w:val="20"/>
          <w:szCs w:val="20"/>
        </w:rPr>
        <w:t>A</w:t>
      </w:r>
      <w:proofErr w:type="gramEnd"/>
      <w:r w:rsidRPr="001C196A">
        <w:rPr>
          <w:i/>
          <w:sz w:val="20"/>
          <w:szCs w:val="20"/>
        </w:rPr>
        <w:t xml:space="preserve"> Survey of the Old Testament</w:t>
      </w:r>
      <w:r w:rsidRPr="001C196A">
        <w:rPr>
          <w:sz w:val="20"/>
          <w:szCs w:val="20"/>
        </w:rPr>
        <w:t>, 209</w:t>
      </w:r>
    </w:p>
    <w:p w14:paraId="1BB88EC9" w14:textId="77777777" w:rsidR="006F0D8E" w:rsidRPr="008433A6" w:rsidRDefault="006F0D8E" w:rsidP="006F0D8E">
      <w:pPr>
        <w:pStyle w:val="BodyTextIndent"/>
        <w:pBdr>
          <w:bottom w:val="double" w:sz="6" w:space="1" w:color="auto"/>
        </w:pBdr>
        <w:ind w:left="720"/>
        <w:rPr>
          <w:rFonts w:ascii="Times New Roman" w:hAnsi="Times New Roman"/>
        </w:rPr>
      </w:pPr>
    </w:p>
    <w:p w14:paraId="124A7C0E" w14:textId="77777777" w:rsidR="006F0D8E" w:rsidRDefault="006F0D8E" w:rsidP="006F0D8E">
      <w:pPr>
        <w:jc w:val="center"/>
        <w:rPr>
          <w:b/>
        </w:rPr>
      </w:pPr>
    </w:p>
    <w:p w14:paraId="00F1510E" w14:textId="3995FE05" w:rsidR="006F0D8E" w:rsidRDefault="006F0D8E" w:rsidP="00401C78">
      <w:pPr>
        <w:jc w:val="center"/>
        <w:rPr>
          <w:b/>
        </w:rPr>
      </w:pPr>
      <w:r>
        <w:rPr>
          <w:b/>
        </w:rPr>
        <w:t>What kind of history?</w:t>
      </w:r>
    </w:p>
    <w:p w14:paraId="1E8B901B" w14:textId="67FD4E60" w:rsidR="00AA274A" w:rsidRPr="00401C78" w:rsidRDefault="006F0D8E" w:rsidP="00401C78">
      <w:r>
        <w:t>Historical narrative in the Old Testament was thus an important way for Israelite authors and redactors to illustrate Jehovah’s involvement with the Israelites and their leaders. One of the major purposes of these narratives was to demonstrate that Jehovah’s word and will were always fulfilled—the promised blessings as well as the promised curses. A related reason was to trace in history the Israelites progress—such as the building of the Temple in Jerusalem—the setbacks—such as the destruction of the Israelite kingdoms and deportation of thousands of Israelites—and to provide an explanation and justification for these. By emphasizing and explaining certain events and developments, the redactors helped define for later Israelites what their heritage was and how it was inexorably bound up in their covenant with the Lord.</w:t>
      </w:r>
    </w:p>
    <w:p w14:paraId="787A4AB0" w14:textId="78638FAB" w:rsidR="006F0D8E" w:rsidRPr="008433A6" w:rsidRDefault="006F0D8E" w:rsidP="006F0D8E">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14</w:t>
      </w:r>
      <w:r>
        <w:rPr>
          <w:sz w:val="20"/>
        </w:rPr>
        <w:t>6</w:t>
      </w:r>
      <w:r w:rsidRPr="008433A6">
        <w:rPr>
          <w:sz w:val="20"/>
        </w:rPr>
        <w:t>.</w:t>
      </w:r>
    </w:p>
    <w:p w14:paraId="069038A1" w14:textId="77777777" w:rsidR="006F0D8E" w:rsidRPr="008433A6" w:rsidRDefault="006F0D8E" w:rsidP="00BC6722">
      <w:pPr>
        <w:pBdr>
          <w:bottom w:val="double" w:sz="6" w:space="1" w:color="auto"/>
        </w:pBdr>
      </w:pPr>
    </w:p>
    <w:p w14:paraId="39A1F714" w14:textId="798C567B" w:rsidR="00223E42" w:rsidRPr="008433A6" w:rsidRDefault="00223E42" w:rsidP="00223E42">
      <w:bookmarkStart w:id="0" w:name="_GoBack"/>
      <w:bookmarkEnd w:id="0"/>
    </w:p>
    <w:p w14:paraId="647239CB" w14:textId="5C642602" w:rsidR="00223E42" w:rsidRPr="00401C78" w:rsidRDefault="00223E42" w:rsidP="00401C78">
      <w:pPr>
        <w:widowControl w:val="0"/>
        <w:autoSpaceDE w:val="0"/>
        <w:autoSpaceDN w:val="0"/>
        <w:adjustRightInd w:val="0"/>
        <w:jc w:val="center"/>
        <w:rPr>
          <w:rFonts w:cs="Chaucer"/>
          <w:b/>
          <w:szCs w:val="40"/>
        </w:rPr>
      </w:pPr>
      <w:proofErr w:type="spellStart"/>
      <w:r w:rsidRPr="008433A6">
        <w:rPr>
          <w:rFonts w:cs="Chaucer"/>
          <w:b/>
          <w:i/>
          <w:szCs w:val="41"/>
        </w:rPr>
        <w:t>H</w:t>
      </w:r>
      <w:r>
        <w:rPr>
          <w:rFonts w:cs="Chaucer"/>
          <w:b/>
          <w:i/>
          <w:szCs w:val="41"/>
        </w:rPr>
        <w:t>̣</w:t>
      </w:r>
      <w:r w:rsidRPr="008433A6">
        <w:rPr>
          <w:rFonts w:cs="Chaucer"/>
          <w:b/>
          <w:i/>
          <w:szCs w:val="41"/>
        </w:rPr>
        <w:t>erem</w:t>
      </w:r>
      <w:proofErr w:type="spellEnd"/>
      <w:r w:rsidRPr="008433A6">
        <w:rPr>
          <w:rFonts w:cs="Chaucer"/>
          <w:b/>
          <w:szCs w:val="41"/>
        </w:rPr>
        <w:t xml:space="preserve">, </w:t>
      </w:r>
      <w:r w:rsidRPr="008433A6">
        <w:rPr>
          <w:rFonts w:cs="Chaucer"/>
          <w:b/>
          <w:szCs w:val="40"/>
        </w:rPr>
        <w:t>Devoted to Destruction</w:t>
      </w:r>
    </w:p>
    <w:p w14:paraId="0D2001A2" w14:textId="77777777" w:rsidR="00223E42" w:rsidRPr="008433A6" w:rsidRDefault="00223E42" w:rsidP="00223E42">
      <w:pPr>
        <w:widowControl w:val="0"/>
        <w:autoSpaceDE w:val="0"/>
        <w:autoSpaceDN w:val="0"/>
        <w:adjustRightInd w:val="0"/>
        <w:ind w:firstLine="360"/>
        <w:rPr>
          <w:rFonts w:cs="Chaucer"/>
          <w:szCs w:val="17"/>
        </w:rPr>
      </w:pPr>
      <w:r w:rsidRPr="008433A6">
        <w:rPr>
          <w:rFonts w:cs="Chaucer"/>
          <w:szCs w:val="71"/>
        </w:rPr>
        <w:t>A</w:t>
      </w:r>
      <w:r w:rsidRPr="008433A6">
        <w:rPr>
          <w:rFonts w:cs="Chaucer"/>
          <w:szCs w:val="17"/>
        </w:rPr>
        <w:t>s the Israelites prepared to overrun the city of Jericho, Joshua instructed them, “the city shall be accursed, even it, and all that are therein, to the L</w:t>
      </w:r>
      <w:r w:rsidRPr="008433A6">
        <w:rPr>
          <w:rFonts w:cs="Chaucer"/>
          <w:szCs w:val="12"/>
        </w:rPr>
        <w:t>ord</w:t>
      </w:r>
      <w:r w:rsidRPr="008433A6">
        <w:rPr>
          <w:rFonts w:cs="Chaucer"/>
          <w:szCs w:val="17"/>
        </w:rPr>
        <w:t xml:space="preserve">. …  And </w:t>
      </w:r>
      <w:proofErr w:type="spellStart"/>
      <w:r w:rsidRPr="008433A6">
        <w:rPr>
          <w:rFonts w:cs="Chaucer"/>
          <w:szCs w:val="17"/>
        </w:rPr>
        <w:t>ye</w:t>
      </w:r>
      <w:proofErr w:type="spellEnd"/>
      <w:r w:rsidRPr="008433A6">
        <w:rPr>
          <w:rFonts w:cs="Chaucer"/>
          <w:szCs w:val="17"/>
        </w:rPr>
        <w:t xml:space="preserve">, in any wise keep yourselves from the accursed thing, lest ye make yourselves accursed, when ye take of the accursed thing” (Josh 6:17–18).  The Hebrew word translated “accursed” in the KJV is </w:t>
      </w:r>
      <w:proofErr w:type="spellStart"/>
      <w:r w:rsidRPr="008433A6">
        <w:rPr>
          <w:rFonts w:cs="Chaucer"/>
          <w:i/>
          <w:iCs/>
          <w:szCs w:val="17"/>
        </w:rPr>
        <w:t>h</w:t>
      </w:r>
      <w:r>
        <w:rPr>
          <w:rFonts w:cs="Chaucer"/>
          <w:i/>
          <w:iCs/>
          <w:szCs w:val="17"/>
        </w:rPr>
        <w:t>̣</w:t>
      </w:r>
      <w:r w:rsidRPr="008433A6">
        <w:rPr>
          <w:rFonts w:cs="Chaucer"/>
          <w:i/>
          <w:iCs/>
          <w:szCs w:val="17"/>
        </w:rPr>
        <w:t>erem</w:t>
      </w:r>
      <w:proofErr w:type="spellEnd"/>
      <w:r w:rsidRPr="008433A6">
        <w:rPr>
          <w:rFonts w:cs="Chaucer"/>
          <w:i/>
          <w:iCs/>
          <w:szCs w:val="17"/>
        </w:rPr>
        <w:t xml:space="preserve">, </w:t>
      </w:r>
      <w:r w:rsidRPr="008433A6">
        <w:rPr>
          <w:rFonts w:cs="Chaucer"/>
          <w:szCs w:val="17"/>
        </w:rPr>
        <w:t xml:space="preserve">meaning “devoted, set apart,” in this case to destruction.  The causative verbal form of the lexical root </w:t>
      </w:r>
      <w:r w:rsidRPr="008433A6">
        <w:rPr>
          <w:rFonts w:cs="Chaucer"/>
          <w:i/>
          <w:iCs/>
          <w:szCs w:val="17"/>
        </w:rPr>
        <w:t>h</w:t>
      </w:r>
      <w:r>
        <w:rPr>
          <w:rFonts w:cs="Chaucer"/>
          <w:i/>
          <w:iCs/>
          <w:szCs w:val="17"/>
        </w:rPr>
        <w:t>̣</w:t>
      </w:r>
      <w:r w:rsidRPr="008433A6">
        <w:rPr>
          <w:rFonts w:cs="Chaucer"/>
          <w:i/>
          <w:iCs/>
          <w:szCs w:val="17"/>
        </w:rPr>
        <w:t xml:space="preserve">-r-m </w:t>
      </w:r>
      <w:r w:rsidRPr="008433A6">
        <w:rPr>
          <w:rFonts w:cs="Chaucer"/>
          <w:szCs w:val="17"/>
        </w:rPr>
        <w:t>is usually translated “utterly destroyed,” as in Joshua 6:21:  “They utterly destroyed all that was in the city [of Jericho], both man and woman, young and old, and ox, and sheep, and ass, with the edge of the sword.”  Thus, everything was devoted to God through its destruction, except the precious metals which were purified and placed in the “treasury of the L</w:t>
      </w:r>
      <w:r w:rsidRPr="008433A6">
        <w:rPr>
          <w:rFonts w:cs="Chaucer"/>
          <w:szCs w:val="12"/>
        </w:rPr>
        <w:t>ord</w:t>
      </w:r>
      <w:r w:rsidRPr="008433A6">
        <w:rPr>
          <w:rFonts w:cs="Chaucer"/>
          <w:szCs w:val="17"/>
        </w:rPr>
        <w:t xml:space="preserve">” (Josh 6:19, 24).  While such passages are understandably troubling to many people, comprehending the context in which this practice existed can be helpful. </w:t>
      </w:r>
    </w:p>
    <w:p w14:paraId="1FEB5202" w14:textId="77777777" w:rsidR="00223E42" w:rsidRPr="008433A6" w:rsidRDefault="00223E42" w:rsidP="00223E42">
      <w:pPr>
        <w:widowControl w:val="0"/>
        <w:autoSpaceDE w:val="0"/>
        <w:autoSpaceDN w:val="0"/>
        <w:adjustRightInd w:val="0"/>
        <w:ind w:firstLine="360"/>
        <w:rPr>
          <w:rFonts w:cs="Chaucer"/>
          <w:szCs w:val="17"/>
        </w:rPr>
      </w:pPr>
      <w:r w:rsidRPr="008433A6">
        <w:rPr>
          <w:rFonts w:cs="Chaucer"/>
          <w:szCs w:val="17"/>
        </w:rPr>
        <w:t xml:space="preserve">All ancient Near Eastern peoples viewed war as religious in nature.  Kings who won wars helped perpetuate order in society and establish justice (as opposed to allowing chaos).  An army’s victories in battle were understood as manifestations of their god’s power over other people.  The Bible clearly depicts Jehovah as a divine warrior (e.g., </w:t>
      </w:r>
      <w:proofErr w:type="spellStart"/>
      <w:r w:rsidRPr="008433A6">
        <w:rPr>
          <w:rFonts w:cs="Chaucer"/>
          <w:szCs w:val="17"/>
        </w:rPr>
        <w:t>Exod</w:t>
      </w:r>
      <w:proofErr w:type="spellEnd"/>
      <w:r w:rsidRPr="008433A6">
        <w:rPr>
          <w:rFonts w:cs="Chaucer"/>
          <w:szCs w:val="17"/>
        </w:rPr>
        <w:t xml:space="preserve"> 15:1–6), conceptually similar to depictions of other ancient Near Eastern deities in this regard.  For example, Assyrian king Sennacherib claimed, “The terrifying nature of the weapon of (the god) Ashur my lord overwhelmed his [the king of Sidon’s] strong cities” (</w:t>
      </w:r>
      <w:r w:rsidRPr="008433A6">
        <w:rPr>
          <w:rFonts w:cs="Chaucer"/>
          <w:i/>
          <w:iCs/>
          <w:szCs w:val="17"/>
        </w:rPr>
        <w:t xml:space="preserve">COS, </w:t>
      </w:r>
      <w:r w:rsidRPr="008433A6">
        <w:rPr>
          <w:rFonts w:cs="Chaucer"/>
          <w:szCs w:val="17"/>
        </w:rPr>
        <w:t xml:space="preserve">2.119B).  </w:t>
      </w:r>
    </w:p>
    <w:p w14:paraId="21B5EC5F" w14:textId="77777777" w:rsidR="00223E42" w:rsidRPr="008433A6" w:rsidRDefault="00223E42" w:rsidP="00223E42">
      <w:pPr>
        <w:widowControl w:val="0"/>
        <w:autoSpaceDE w:val="0"/>
        <w:autoSpaceDN w:val="0"/>
        <w:adjustRightInd w:val="0"/>
        <w:ind w:firstLine="360"/>
        <w:rPr>
          <w:rFonts w:cs="Chaucer"/>
          <w:szCs w:val="17"/>
        </w:rPr>
      </w:pPr>
      <w:r w:rsidRPr="008433A6">
        <w:rPr>
          <w:rFonts w:cs="Chaucer"/>
          <w:szCs w:val="17"/>
        </w:rPr>
        <w:t xml:space="preserve">Thus, from an Israelite point of view, Jehovah commanded their battles, and they were victorious through his power, fighting along with the heavenly host in bringing about Jehovah’s purposes.  Two passages of scripture explain that the Israelites were Jehovah’s agents of judgment in this process.  Genesis 15:16 indicates that when the Israelites conquered Canaan the “iniquity of the Amorites” would be “full.”  And in 1 Nephi 17:32–33, Nephi remarked to his brothers, “After they [the Israelites] had crossed the river Jordan he [the Lord] did make them mighty unto the driving out of the children of the land [of Canaan], yea, unto the scattering them to destruction.  And now, do ye suppose that the children of this land [Canaan], who were in the land of promise, who were driven out by our fathers, do ye suppose that they were righteous?  Behold, I say unto you, Nay.” </w:t>
      </w:r>
    </w:p>
    <w:p w14:paraId="5B39C397" w14:textId="77777777" w:rsidR="00223E42" w:rsidRPr="008433A6" w:rsidRDefault="00223E42" w:rsidP="00223E42">
      <w:pPr>
        <w:widowControl w:val="0"/>
        <w:autoSpaceDE w:val="0"/>
        <w:autoSpaceDN w:val="0"/>
        <w:adjustRightInd w:val="0"/>
        <w:ind w:firstLine="360"/>
        <w:rPr>
          <w:rFonts w:cs="Chaucer"/>
          <w:szCs w:val="17"/>
        </w:rPr>
      </w:pPr>
      <w:r w:rsidRPr="008433A6">
        <w:rPr>
          <w:rFonts w:cs="Chaucer"/>
          <w:szCs w:val="17"/>
        </w:rPr>
        <w:t>Since it was Jehovah’s war, all the spoils of war belonged to him.  He could, and sometimes did, request that all the booty be turned over to him, so to speak, by having the Israelites devote everything to destruction (</w:t>
      </w:r>
      <w:proofErr w:type="spellStart"/>
      <w:r w:rsidRPr="008433A6">
        <w:rPr>
          <w:rFonts w:cs="Chaucer"/>
          <w:i/>
          <w:iCs/>
          <w:szCs w:val="17"/>
        </w:rPr>
        <w:t>h</w:t>
      </w:r>
      <w:r>
        <w:rPr>
          <w:rFonts w:cs="Chaucer"/>
          <w:i/>
          <w:iCs/>
          <w:szCs w:val="17"/>
        </w:rPr>
        <w:t>̣</w:t>
      </w:r>
      <w:r w:rsidRPr="008433A6">
        <w:rPr>
          <w:rFonts w:cs="Chaucer"/>
          <w:i/>
          <w:iCs/>
          <w:szCs w:val="17"/>
        </w:rPr>
        <w:t>erem</w:t>
      </w:r>
      <w:proofErr w:type="spellEnd"/>
      <w:r w:rsidRPr="008433A6">
        <w:rPr>
          <w:rFonts w:cs="Chaucer"/>
          <w:szCs w:val="17"/>
        </w:rPr>
        <w:t xml:space="preserve">), which transferred the spoils into a realm beyond human access. …  So … on some occasions Jehovah requested the whole human and animal population be set apart or devoted to him by destroying it.  He received all the spoils of the victory.  After killing everyone, the city was burned, making it one large sacrificial offering (and, secondarily, providing sanitation and military benefits as well). </w:t>
      </w:r>
    </w:p>
    <w:p w14:paraId="7D7DAB13" w14:textId="3AE08672" w:rsidR="00223E42" w:rsidRPr="008433A6" w:rsidRDefault="00223E42" w:rsidP="00401C78">
      <w:pPr>
        <w:widowControl w:val="0"/>
        <w:autoSpaceDE w:val="0"/>
        <w:autoSpaceDN w:val="0"/>
        <w:adjustRightInd w:val="0"/>
        <w:ind w:firstLine="360"/>
        <w:rPr>
          <w:rFonts w:cs="Chaucer"/>
          <w:szCs w:val="17"/>
        </w:rPr>
      </w:pPr>
      <w:r w:rsidRPr="008433A6">
        <w:rPr>
          <w:rFonts w:cs="Chaucer"/>
          <w:szCs w:val="17"/>
        </w:rPr>
        <w:t xml:space="preserve">The principle of </w:t>
      </w:r>
      <w:proofErr w:type="spellStart"/>
      <w:r w:rsidRPr="008433A6">
        <w:rPr>
          <w:rFonts w:cs="Chaucer"/>
          <w:i/>
          <w:iCs/>
          <w:szCs w:val="17"/>
        </w:rPr>
        <w:t>h</w:t>
      </w:r>
      <w:r>
        <w:rPr>
          <w:rFonts w:cs="Chaucer"/>
          <w:i/>
          <w:iCs/>
          <w:szCs w:val="17"/>
        </w:rPr>
        <w:t>̣</w:t>
      </w:r>
      <w:r w:rsidRPr="008433A6">
        <w:rPr>
          <w:rFonts w:cs="Chaucer"/>
          <w:i/>
          <w:iCs/>
          <w:szCs w:val="17"/>
        </w:rPr>
        <w:t>erem</w:t>
      </w:r>
      <w:proofErr w:type="spellEnd"/>
      <w:r w:rsidRPr="008433A6">
        <w:rPr>
          <w:rFonts w:cs="Chaucer"/>
          <w:i/>
          <w:iCs/>
          <w:szCs w:val="17"/>
        </w:rPr>
        <w:t xml:space="preserve"> </w:t>
      </w:r>
      <w:r w:rsidRPr="008433A6">
        <w:rPr>
          <w:rFonts w:cs="Chaucer"/>
          <w:szCs w:val="17"/>
        </w:rPr>
        <w:t xml:space="preserve">was not limited to only Jericho, but was also carried out at other cities in Canaan, as the Israelites “utterly destroyed them, and all the souls that were therein” (Josh 10:28; see also Josh 10:32, 35, 37, 39; 11:11–14).  In Deuteronomy, Moses recounted that they had engaged in </w:t>
      </w:r>
      <w:proofErr w:type="spellStart"/>
      <w:r w:rsidRPr="008433A6">
        <w:rPr>
          <w:rFonts w:cs="Chaucer"/>
          <w:i/>
          <w:iCs/>
          <w:szCs w:val="17"/>
        </w:rPr>
        <w:t>h</w:t>
      </w:r>
      <w:r>
        <w:rPr>
          <w:rFonts w:cs="Chaucer"/>
          <w:i/>
          <w:iCs/>
          <w:szCs w:val="17"/>
        </w:rPr>
        <w:t>̣</w:t>
      </w:r>
      <w:r w:rsidRPr="008433A6">
        <w:rPr>
          <w:rFonts w:cs="Chaucer"/>
          <w:i/>
          <w:iCs/>
          <w:szCs w:val="17"/>
        </w:rPr>
        <w:t>erem</w:t>
      </w:r>
      <w:proofErr w:type="spellEnd"/>
      <w:r w:rsidRPr="008433A6">
        <w:rPr>
          <w:rFonts w:cs="Chaucer"/>
          <w:i/>
          <w:iCs/>
          <w:szCs w:val="17"/>
        </w:rPr>
        <w:t xml:space="preserve"> </w:t>
      </w:r>
      <w:r w:rsidRPr="008433A6">
        <w:rPr>
          <w:rFonts w:cs="Chaucer"/>
          <w:szCs w:val="17"/>
        </w:rPr>
        <w:t>against peoples on the eastern side of the Jordan River (</w:t>
      </w:r>
      <w:proofErr w:type="spellStart"/>
      <w:r w:rsidRPr="008433A6">
        <w:rPr>
          <w:rFonts w:cs="Chaucer"/>
          <w:szCs w:val="17"/>
        </w:rPr>
        <w:t>Deut</w:t>
      </w:r>
      <w:proofErr w:type="spellEnd"/>
      <w:r w:rsidRPr="008433A6">
        <w:rPr>
          <w:rFonts w:cs="Chaucer"/>
          <w:szCs w:val="17"/>
        </w:rPr>
        <w:t xml:space="preserve"> 2:34; 3:6).  First Samuel 15 also relates this practice.  Samuel instructed Saul to “utterly destroy” the Amalekites—people and animals (1 Sam 15:3).  Saul brought many sheep as well as </w:t>
      </w:r>
      <w:proofErr w:type="spellStart"/>
      <w:r w:rsidRPr="008433A6">
        <w:rPr>
          <w:rFonts w:cs="Chaucer"/>
          <w:szCs w:val="17"/>
        </w:rPr>
        <w:t>Agag</w:t>
      </w:r>
      <w:proofErr w:type="spellEnd"/>
      <w:r w:rsidRPr="008433A6">
        <w:rPr>
          <w:rFonts w:cs="Chaucer"/>
          <w:szCs w:val="17"/>
        </w:rPr>
        <w:t xml:space="preserve"> the Amalekite king home as trophies of his victory.  So Samuel took a sword and finished the job, as he “hewed </w:t>
      </w:r>
      <w:proofErr w:type="spellStart"/>
      <w:r w:rsidRPr="008433A6">
        <w:rPr>
          <w:rFonts w:cs="Chaucer"/>
          <w:szCs w:val="17"/>
        </w:rPr>
        <w:t>Agag</w:t>
      </w:r>
      <w:proofErr w:type="spellEnd"/>
      <w:r w:rsidRPr="008433A6">
        <w:rPr>
          <w:rFonts w:cs="Chaucer"/>
          <w:szCs w:val="17"/>
        </w:rPr>
        <w:t xml:space="preserve"> in pieces before the L</w:t>
      </w:r>
      <w:r w:rsidRPr="008433A6">
        <w:rPr>
          <w:rFonts w:cs="Chaucer"/>
          <w:szCs w:val="12"/>
        </w:rPr>
        <w:t xml:space="preserve">ord </w:t>
      </w:r>
      <w:r w:rsidRPr="008433A6">
        <w:rPr>
          <w:rFonts w:cs="Chaucer"/>
          <w:szCs w:val="17"/>
        </w:rPr>
        <w:t xml:space="preserve">in Gilgal” (1 Sam 15:33).  The word </w:t>
      </w:r>
      <w:proofErr w:type="spellStart"/>
      <w:r w:rsidRPr="008433A6">
        <w:rPr>
          <w:rFonts w:cs="Chaucer"/>
          <w:i/>
          <w:iCs/>
          <w:szCs w:val="17"/>
        </w:rPr>
        <w:t>h</w:t>
      </w:r>
      <w:r>
        <w:rPr>
          <w:rFonts w:cs="Chaucer"/>
          <w:i/>
          <w:iCs/>
          <w:szCs w:val="17"/>
        </w:rPr>
        <w:t>̣</w:t>
      </w:r>
      <w:r w:rsidRPr="008433A6">
        <w:rPr>
          <w:rFonts w:cs="Chaucer"/>
          <w:i/>
          <w:iCs/>
          <w:szCs w:val="17"/>
        </w:rPr>
        <w:t>erem</w:t>
      </w:r>
      <w:proofErr w:type="spellEnd"/>
      <w:r w:rsidRPr="008433A6">
        <w:rPr>
          <w:rFonts w:cs="Chaucer"/>
          <w:i/>
          <w:iCs/>
          <w:szCs w:val="17"/>
        </w:rPr>
        <w:t xml:space="preserve"> </w:t>
      </w:r>
      <w:r w:rsidRPr="008433A6">
        <w:rPr>
          <w:rFonts w:cs="Chaucer"/>
          <w:szCs w:val="17"/>
        </w:rPr>
        <w:t xml:space="preserve">also occurs in the Moabite inscription of king </w:t>
      </w:r>
      <w:proofErr w:type="spellStart"/>
      <w:r w:rsidRPr="008433A6">
        <w:rPr>
          <w:rFonts w:cs="Chaucer"/>
          <w:szCs w:val="17"/>
        </w:rPr>
        <w:t>Mesha</w:t>
      </w:r>
      <w:proofErr w:type="spellEnd"/>
      <w:r w:rsidRPr="008433A6">
        <w:rPr>
          <w:rFonts w:cs="Chaucer"/>
          <w:szCs w:val="17"/>
        </w:rPr>
        <w:t xml:space="preserve"> and refers to a similar phenomenon.</w:t>
      </w:r>
    </w:p>
    <w:p w14:paraId="5918EF69" w14:textId="77777777" w:rsidR="00223E42" w:rsidRPr="008433A6" w:rsidRDefault="00223E42" w:rsidP="00223E42">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154.</w:t>
      </w:r>
    </w:p>
    <w:p w14:paraId="6D9B9C0E" w14:textId="308B2170" w:rsidR="007B180D" w:rsidRPr="008433A6" w:rsidRDefault="007B180D" w:rsidP="00223E42">
      <w:pPr>
        <w:widowControl w:val="0"/>
        <w:autoSpaceDE w:val="0"/>
        <w:autoSpaceDN w:val="0"/>
        <w:adjustRightInd w:val="0"/>
      </w:pPr>
    </w:p>
    <w:p w14:paraId="2A159748" w14:textId="77777777" w:rsidR="007B180D" w:rsidRDefault="007B180D" w:rsidP="001C196A">
      <w:pPr>
        <w:pBdr>
          <w:bottom w:val="double" w:sz="6" w:space="1" w:color="auto"/>
        </w:pBdr>
        <w:ind w:firstLine="360"/>
      </w:pPr>
      <w:r>
        <w:t xml:space="preserve">In the accounts of Jericho and Ai, Joshua and the Israelites are attacking forts rather than population centers. Further these were probably not large centers but smaller forts whose garrisons may have numbered about a hundred, more or less. Because so much space is devoted to the descriptions of the events at Jericho and Ai, there has been a natural assumption that these were major population centers. However, there is nowhere stated, unlike Gibeon (Josh 10.2) and </w:t>
      </w:r>
      <w:proofErr w:type="spellStart"/>
      <w:r>
        <w:t>Hazor</w:t>
      </w:r>
      <w:proofErr w:type="spellEnd"/>
      <w:r>
        <w:t xml:space="preserve"> (11:10), which are both identified as large cities. The word for “city” (Heb. </w:t>
      </w:r>
      <w:proofErr w:type="spellStart"/>
      <w:r>
        <w:t>ir</w:t>
      </w:r>
      <w:proofErr w:type="spellEnd"/>
      <w:r>
        <w:t xml:space="preserve">) can mean a population center of any size, such as a hamlet or village (e.g., Bethlehem, 1 Sam. 20:6), or a fort or citadel within a larger town or city, as with Ammonite </w:t>
      </w:r>
      <w:proofErr w:type="spellStart"/>
      <w:r>
        <w:t>Rabbah</w:t>
      </w:r>
      <w:proofErr w:type="spellEnd"/>
      <w:r>
        <w:t xml:space="preserve"> (2 Sam. 12:26) or Zion of Jerusalem (2 Sam. 5:7, 9). Similarly, regarding the ‘king’ of Jericho and Ai, the Hebrew </w:t>
      </w:r>
      <w:proofErr w:type="spellStart"/>
      <w:r>
        <w:t>melek</w:t>
      </w:r>
      <w:proofErr w:type="spellEnd"/>
      <w:r>
        <w:t xml:space="preserve"> does not need to refer to an independent sovereign but, as with the related </w:t>
      </w:r>
      <w:proofErr w:type="spellStart"/>
      <w:r>
        <w:t>malik</w:t>
      </w:r>
      <w:proofErr w:type="spellEnd"/>
      <w:r>
        <w:t xml:space="preserve"> in the fourteenth-century-BC Amarna letters from this region, may refer to someone appointed to oversee a place. The term “Ai” (appearing with a definite article in the MT) means “the Ruin” and </w:t>
      </w:r>
      <w:proofErr w:type="gramStart"/>
      <w:r>
        <w:t>may</w:t>
      </w:r>
      <w:proofErr w:type="gramEnd"/>
      <w:r>
        <w:t xml:space="preserve"> further suggest the reuse of the site as a fort. If this interpretation is correct, then the only civilian present in Jericho or Ai would have been Rahab and her family, who managed the local inn. They would have been the exceptions, not the rule” (191). </w:t>
      </w:r>
    </w:p>
    <w:p w14:paraId="19597D80" w14:textId="77777777" w:rsidR="007B180D" w:rsidRDefault="007B180D" w:rsidP="007B180D">
      <w:pPr>
        <w:pBdr>
          <w:bottom w:val="double" w:sz="6" w:space="1" w:color="auto"/>
        </w:pBdr>
      </w:pPr>
    </w:p>
    <w:p w14:paraId="174CC281" w14:textId="6FCE5CAF" w:rsidR="007B180D" w:rsidRDefault="007B180D" w:rsidP="001C196A">
      <w:pPr>
        <w:pBdr>
          <w:bottom w:val="double" w:sz="6" w:space="1" w:color="auto"/>
        </w:pBdr>
        <w:ind w:firstLine="360"/>
      </w:pPr>
      <w:r>
        <w:t xml:space="preserve">In Deuteronomy 20 the Israelites were told to destroy the fortified towns, not to chase Canaanites out of hiding places everywhere in the land. Indeed, the failure to remove the Canaanites from the land means that they remained in the land to lead the Israelites away from God (Josh 13:13; </w:t>
      </w:r>
      <w:proofErr w:type="spellStart"/>
      <w:r>
        <w:t>Judg</w:t>
      </w:r>
      <w:proofErr w:type="spellEnd"/>
      <w:r>
        <w:t xml:space="preserve"> 2:10-13). If they had all been killed this would not have been possible. In sum, the major battles were defensive. There was no genocide of Canaanites recorded in the book of Joshua. The Canaanites remained in all regions of the land (Judg. 1), and intermarried with the Israelites in the following generations. The </w:t>
      </w:r>
      <w:proofErr w:type="spellStart"/>
      <w:r>
        <w:t>herem</w:t>
      </w:r>
      <w:proofErr w:type="spellEnd"/>
      <w:r>
        <w:t>, the complete dedication to God of what is already his creation but has turned against him, was directed against the armies with their religious and political leaders who controlled the fortified centers of power, the ‘cities’ of Deuteronomy 20. These were centers of oppression for most of the inhabitants of Canaan and the location of the great temples to the false gods of the land.</w:t>
      </w:r>
    </w:p>
    <w:p w14:paraId="64DB2DA0" w14:textId="720FC5EC" w:rsidR="00223E42" w:rsidRDefault="007B180D" w:rsidP="007B180D">
      <w:pPr>
        <w:pBdr>
          <w:bottom w:val="double" w:sz="6" w:space="1" w:color="auto"/>
        </w:pBdr>
        <w:jc w:val="right"/>
        <w:rPr>
          <w:sz w:val="20"/>
          <w:szCs w:val="20"/>
        </w:rPr>
      </w:pPr>
      <w:r w:rsidRPr="00AA274A">
        <w:rPr>
          <w:sz w:val="20"/>
          <w:szCs w:val="20"/>
        </w:rPr>
        <w:t xml:space="preserve">Professor Richard S. Hess, </w:t>
      </w:r>
      <w:r w:rsidRPr="00AA274A">
        <w:rPr>
          <w:i/>
          <w:sz w:val="20"/>
          <w:szCs w:val="20"/>
        </w:rPr>
        <w:t xml:space="preserve">Old Testament </w:t>
      </w:r>
      <w:r w:rsidRPr="00AA274A">
        <w:rPr>
          <w:sz w:val="20"/>
          <w:szCs w:val="20"/>
        </w:rPr>
        <w:t>192</w:t>
      </w:r>
    </w:p>
    <w:p w14:paraId="6228EE30" w14:textId="77777777" w:rsidR="00AA274A" w:rsidRPr="00AA274A" w:rsidRDefault="00AA274A" w:rsidP="007B180D">
      <w:pPr>
        <w:pBdr>
          <w:bottom w:val="double" w:sz="6" w:space="1" w:color="auto"/>
        </w:pBdr>
        <w:jc w:val="right"/>
        <w:rPr>
          <w:sz w:val="20"/>
          <w:szCs w:val="20"/>
        </w:rPr>
      </w:pPr>
    </w:p>
    <w:p w14:paraId="1B54F86A" w14:textId="77777777" w:rsidR="001C196A" w:rsidRDefault="001C196A" w:rsidP="00AA274A">
      <w:pPr>
        <w:jc w:val="center"/>
        <w:rPr>
          <w:b/>
        </w:rPr>
      </w:pPr>
    </w:p>
    <w:p w14:paraId="1EFA0376" w14:textId="5EB5CC20" w:rsidR="00AA274A" w:rsidRPr="00AA274A" w:rsidRDefault="00AA274A" w:rsidP="00401C78">
      <w:pPr>
        <w:jc w:val="center"/>
        <w:rPr>
          <w:b/>
        </w:rPr>
      </w:pPr>
      <w:r w:rsidRPr="00AA274A">
        <w:rPr>
          <w:b/>
        </w:rPr>
        <w:t>Total or Partial Conquest?</w:t>
      </w:r>
    </w:p>
    <w:p w14:paraId="42A39C3A" w14:textId="77777777" w:rsidR="00AA274A" w:rsidRDefault="00AA274A" w:rsidP="00AA274A">
      <w:r>
        <w:t xml:space="preserve">The book of Joshua emphasizes again and again that Joshua “left nothing undone of all that the Lord commanded Moses” (Josh 11:15). Summary statements, such as the one in Joshua 10:40 (“So Joshua smote all the country . . . and all the kings: he left none remaining, but utterly destroyed all that breathed, as the Lord God of Israel commanded”) and Joshua 11:23 (“So Joshua took the whole land”; see also Josh 11:11-12), provide a generalized and idealized depiction of Joshua’ successes. Scholars also consider this a stylistic use of hyperbole, similar to the claim in the </w:t>
      </w:r>
      <w:proofErr w:type="spellStart"/>
      <w:r>
        <w:t>Merneptah</w:t>
      </w:r>
      <w:proofErr w:type="spellEnd"/>
      <w:r>
        <w:t xml:space="preserve"> inscription that the Egyptian had completely destroyed the Israelites.</w:t>
      </w:r>
    </w:p>
    <w:p w14:paraId="3622BED5" w14:textId="5C7D88EE" w:rsidR="00AA274A" w:rsidRDefault="00AA274A" w:rsidP="00AA274A">
      <w:r>
        <w:t>Several passages in Joshua (15:63; 16:10; 17:12-13; 18:2-3; 23:12-13), as well as Judges 1, clearly indicate that there were still areas of Canaan that had not been subdued and people who had not been conquered or killed. This tension in the text between ideal and real is perhaps best resolved by recognizing that the Israelites won a number of important military victories throughout the land of Canaan, especially in the hill country. However, subduing and possessing the land, especially many of the Canaanite cities, was a process that was not yet complete.</w:t>
      </w:r>
    </w:p>
    <w:p w14:paraId="776F8D55" w14:textId="1473CA06" w:rsidR="00AA274A" w:rsidRPr="008433A6" w:rsidRDefault="00AA274A" w:rsidP="00AA274A">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w:t>
      </w:r>
      <w:r>
        <w:rPr>
          <w:sz w:val="20"/>
        </w:rPr>
        <w:t>56</w:t>
      </w:r>
      <w:r w:rsidRPr="008433A6">
        <w:rPr>
          <w:sz w:val="20"/>
        </w:rPr>
        <w:t>.</w:t>
      </w:r>
    </w:p>
    <w:sectPr w:rsidR="00AA274A" w:rsidRPr="0084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aucer">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10409"/>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61AB2185"/>
    <w:multiLevelType w:val="hybridMultilevel"/>
    <w:tmpl w:val="51E63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B11"/>
    <w:rsid w:val="0011117B"/>
    <w:rsid w:val="00177A66"/>
    <w:rsid w:val="001C196A"/>
    <w:rsid w:val="00223E42"/>
    <w:rsid w:val="00306B3A"/>
    <w:rsid w:val="003454CD"/>
    <w:rsid w:val="0036639E"/>
    <w:rsid w:val="003C06B9"/>
    <w:rsid w:val="00401C78"/>
    <w:rsid w:val="004470C7"/>
    <w:rsid w:val="004C7329"/>
    <w:rsid w:val="005467E0"/>
    <w:rsid w:val="006A3398"/>
    <w:rsid w:val="006F0D8E"/>
    <w:rsid w:val="00750B11"/>
    <w:rsid w:val="007B180D"/>
    <w:rsid w:val="0082717B"/>
    <w:rsid w:val="00893152"/>
    <w:rsid w:val="009F2FBC"/>
    <w:rsid w:val="00AA274A"/>
    <w:rsid w:val="00AA5992"/>
    <w:rsid w:val="00B96D17"/>
    <w:rsid w:val="00BC6722"/>
    <w:rsid w:val="00D96516"/>
    <w:rsid w:val="00DD3B66"/>
    <w:rsid w:val="00E221A5"/>
    <w:rsid w:val="00E57519"/>
    <w:rsid w:val="00E9152E"/>
    <w:rsid w:val="00EA309C"/>
    <w:rsid w:val="00EC3882"/>
    <w:rsid w:val="00EF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E15B"/>
  <w15:chartTrackingRefBased/>
  <w15:docId w15:val="{641812EC-DE39-4736-8205-1D1C8F66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B11"/>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750B11"/>
    <w:pPr>
      <w:ind w:left="1440" w:hanging="720"/>
    </w:pPr>
    <w:rPr>
      <w:rFonts w:ascii="Times" w:hAnsi="Times"/>
    </w:rPr>
  </w:style>
  <w:style w:type="character" w:customStyle="1" w:styleId="BodyTextIndentChar">
    <w:name w:val="Body Text Indent Char"/>
    <w:basedOn w:val="DefaultParagraphFont"/>
    <w:link w:val="BodyTextIndent"/>
    <w:rsid w:val="00750B11"/>
    <w:rPr>
      <w:rFonts w:ascii="Times" w:eastAsia="Times" w:hAnsi="Times" w:cs="Times New Roman"/>
      <w:sz w:val="24"/>
      <w:szCs w:val="24"/>
    </w:rPr>
  </w:style>
  <w:style w:type="paragraph" w:styleId="Title">
    <w:name w:val="Title"/>
    <w:basedOn w:val="Normal"/>
    <w:link w:val="TitleChar"/>
    <w:qFormat/>
    <w:rsid w:val="00223E42"/>
    <w:pPr>
      <w:jc w:val="center"/>
    </w:pPr>
    <w:rPr>
      <w:rFonts w:eastAsia="Times New Roman"/>
      <w:b/>
      <w:sz w:val="28"/>
      <w:u w:val="single"/>
    </w:rPr>
  </w:style>
  <w:style w:type="character" w:customStyle="1" w:styleId="TitleChar">
    <w:name w:val="Title Char"/>
    <w:basedOn w:val="DefaultParagraphFont"/>
    <w:link w:val="Title"/>
    <w:rsid w:val="00223E42"/>
    <w:rPr>
      <w:rFonts w:ascii="Times New Roman" w:eastAsia="Times New Roman" w:hAnsi="Times New Roman" w:cs="Times New Roman"/>
      <w:b/>
      <w:sz w:val="28"/>
      <w:szCs w:val="24"/>
      <w:u w:val="single"/>
    </w:rPr>
  </w:style>
  <w:style w:type="paragraph" w:styleId="BodyTextIndent3">
    <w:name w:val="Body Text Indent 3"/>
    <w:basedOn w:val="Normal"/>
    <w:link w:val="BodyTextIndent3Char"/>
    <w:uiPriority w:val="99"/>
    <w:semiHidden/>
    <w:unhideWhenUsed/>
    <w:rsid w:val="00223E4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E42"/>
    <w:rPr>
      <w:rFonts w:ascii="Times New Roman" w:eastAsia="Times" w:hAnsi="Times New Roman" w:cs="Times New Roman"/>
      <w:sz w:val="16"/>
      <w:szCs w:val="16"/>
    </w:rPr>
  </w:style>
  <w:style w:type="character" w:styleId="CommentReference">
    <w:name w:val="annotation reference"/>
    <w:basedOn w:val="DefaultParagraphFont"/>
    <w:uiPriority w:val="99"/>
    <w:semiHidden/>
    <w:unhideWhenUsed/>
    <w:rsid w:val="00E57519"/>
    <w:rPr>
      <w:sz w:val="16"/>
      <w:szCs w:val="16"/>
    </w:rPr>
  </w:style>
  <w:style w:type="paragraph" w:styleId="CommentText">
    <w:name w:val="annotation text"/>
    <w:basedOn w:val="Normal"/>
    <w:link w:val="CommentTextChar"/>
    <w:uiPriority w:val="99"/>
    <w:semiHidden/>
    <w:unhideWhenUsed/>
    <w:rsid w:val="00E57519"/>
    <w:rPr>
      <w:sz w:val="20"/>
      <w:szCs w:val="20"/>
    </w:rPr>
  </w:style>
  <w:style w:type="character" w:customStyle="1" w:styleId="CommentTextChar">
    <w:name w:val="Comment Text Char"/>
    <w:basedOn w:val="DefaultParagraphFont"/>
    <w:link w:val="CommentText"/>
    <w:uiPriority w:val="99"/>
    <w:semiHidden/>
    <w:rsid w:val="00E57519"/>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57519"/>
    <w:rPr>
      <w:b/>
      <w:bCs/>
    </w:rPr>
  </w:style>
  <w:style w:type="character" w:customStyle="1" w:styleId="CommentSubjectChar">
    <w:name w:val="Comment Subject Char"/>
    <w:basedOn w:val="CommentTextChar"/>
    <w:link w:val="CommentSubject"/>
    <w:uiPriority w:val="99"/>
    <w:semiHidden/>
    <w:rsid w:val="00E57519"/>
    <w:rPr>
      <w:rFonts w:ascii="Times New Roman" w:eastAsia="Times" w:hAnsi="Times New Roman" w:cs="Times New Roman"/>
      <w:b/>
      <w:bCs/>
      <w:sz w:val="20"/>
      <w:szCs w:val="20"/>
    </w:rPr>
  </w:style>
  <w:style w:type="paragraph" w:styleId="BalloonText">
    <w:name w:val="Balloon Text"/>
    <w:basedOn w:val="Normal"/>
    <w:link w:val="BalloonTextChar"/>
    <w:uiPriority w:val="99"/>
    <w:semiHidden/>
    <w:unhideWhenUsed/>
    <w:rsid w:val="00E575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7519"/>
    <w:rPr>
      <w:rFonts w:ascii="Segoe UI" w:eastAsia="Times" w:hAnsi="Segoe UI" w:cs="Segoe UI"/>
      <w:sz w:val="18"/>
      <w:szCs w:val="18"/>
    </w:rPr>
  </w:style>
  <w:style w:type="paragraph" w:styleId="ListParagraph">
    <w:name w:val="List Paragraph"/>
    <w:basedOn w:val="Normal"/>
    <w:uiPriority w:val="34"/>
    <w:qFormat/>
    <w:rsid w:val="00DD3B66"/>
    <w:pPr>
      <w:ind w:left="720"/>
      <w:contextualSpacing/>
    </w:pPr>
  </w:style>
  <w:style w:type="paragraph" w:styleId="NoSpacing">
    <w:name w:val="No Spacing"/>
    <w:uiPriority w:val="1"/>
    <w:qFormat/>
    <w:rsid w:val="00401C78"/>
    <w:pPr>
      <w:spacing w:after="0" w:line="240" w:lineRule="auto"/>
    </w:pPr>
  </w:style>
  <w:style w:type="character" w:styleId="Hyperlink">
    <w:name w:val="Hyperlink"/>
    <w:basedOn w:val="DefaultParagraphFont"/>
    <w:uiPriority w:val="99"/>
    <w:unhideWhenUsed/>
    <w:rsid w:val="00401C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youtube.com/watch?v=JqOqJlFF_eU&amp;t=1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5</Pages>
  <Words>2478</Words>
  <Characters>14130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13</cp:revision>
  <dcterms:created xsi:type="dcterms:W3CDTF">2021-03-29T17:44:00Z</dcterms:created>
  <dcterms:modified xsi:type="dcterms:W3CDTF">2021-07-17T04:28:00Z</dcterms:modified>
</cp:coreProperties>
</file>