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DDFCCF" w14:textId="195B01D7" w:rsidR="005473C7" w:rsidRPr="00906221" w:rsidRDefault="004F4874" w:rsidP="00CD006C">
      <w:pPr>
        <w:jc w:val="center"/>
        <w:rPr>
          <w:b/>
          <w:sz w:val="26"/>
          <w:szCs w:val="26"/>
        </w:rPr>
      </w:pPr>
      <w:r w:rsidRPr="00906221">
        <w:rPr>
          <w:b/>
          <w:sz w:val="26"/>
          <w:szCs w:val="26"/>
        </w:rPr>
        <w:t xml:space="preserve">Day 5 </w:t>
      </w:r>
      <w:r w:rsidR="00906221">
        <w:rPr>
          <w:b/>
          <w:sz w:val="26"/>
          <w:szCs w:val="26"/>
        </w:rPr>
        <w:t xml:space="preserve">Noah &amp; Primeval History: </w:t>
      </w:r>
      <w:bookmarkStart w:id="0" w:name="_GoBack"/>
      <w:bookmarkEnd w:id="0"/>
      <w:r w:rsidRPr="00906221">
        <w:rPr>
          <w:b/>
          <w:sz w:val="26"/>
          <w:szCs w:val="26"/>
        </w:rPr>
        <w:t>Readings</w:t>
      </w:r>
      <w:r w:rsidR="00D456E2" w:rsidRPr="00906221">
        <w:rPr>
          <w:b/>
          <w:sz w:val="26"/>
          <w:szCs w:val="26"/>
        </w:rPr>
        <w:t xml:space="preserve">: Genesis 6-11; Moses </w:t>
      </w:r>
      <w:r w:rsidR="00CD006C" w:rsidRPr="00906221">
        <w:rPr>
          <w:b/>
          <w:sz w:val="26"/>
          <w:szCs w:val="26"/>
        </w:rPr>
        <w:t>7-</w:t>
      </w:r>
      <w:r w:rsidR="00D456E2" w:rsidRPr="00906221">
        <w:rPr>
          <w:b/>
          <w:sz w:val="26"/>
          <w:szCs w:val="26"/>
        </w:rPr>
        <w:t>8</w:t>
      </w:r>
      <w:r w:rsidR="00CD006C" w:rsidRPr="00906221">
        <w:rPr>
          <w:b/>
          <w:sz w:val="26"/>
          <w:szCs w:val="26"/>
        </w:rPr>
        <w:t xml:space="preserve"> &amp; </w:t>
      </w:r>
      <w:proofErr w:type="spellStart"/>
      <w:r w:rsidR="00CD006C" w:rsidRPr="00906221">
        <w:rPr>
          <w:b/>
          <w:sz w:val="26"/>
          <w:szCs w:val="26"/>
        </w:rPr>
        <w:t>Coogan’s</w:t>
      </w:r>
      <w:proofErr w:type="spellEnd"/>
      <w:r w:rsidR="00CD006C" w:rsidRPr="00906221">
        <w:rPr>
          <w:b/>
          <w:sz w:val="26"/>
          <w:szCs w:val="26"/>
        </w:rPr>
        <w:t xml:space="preserve"> Documentary Hypothesis PDF</w:t>
      </w:r>
    </w:p>
    <w:p w14:paraId="537F4874" w14:textId="77777777" w:rsidR="009C6E8A" w:rsidRPr="00413C36" w:rsidRDefault="009C6E8A" w:rsidP="009C6E8A">
      <w:pPr>
        <w:pBdr>
          <w:bottom w:val="double" w:sz="6" w:space="1" w:color="auto"/>
        </w:pBdr>
        <w:jc w:val="right"/>
        <w:rPr>
          <w:sz w:val="20"/>
          <w:szCs w:val="36"/>
        </w:rPr>
      </w:pPr>
    </w:p>
    <w:p w14:paraId="550B645A" w14:textId="77777777" w:rsidR="009C6E8A" w:rsidRPr="00413C36" w:rsidRDefault="009C6E8A" w:rsidP="009C6E8A"/>
    <w:p w14:paraId="65F64A1A" w14:textId="2D8F642E" w:rsidR="005500DC" w:rsidRDefault="005500DC" w:rsidP="005500DC">
      <w:pPr>
        <w:ind w:firstLine="360"/>
        <w:jc w:val="center"/>
        <w:rPr>
          <w:b/>
        </w:rPr>
      </w:pPr>
      <w:r w:rsidRPr="005500DC">
        <w:rPr>
          <w:b/>
        </w:rPr>
        <w:t>The Genesis Flood Story’s Connections to other ANES Flood Stories</w:t>
      </w:r>
    </w:p>
    <w:p w14:paraId="71030C54" w14:textId="77777777" w:rsidR="005500DC" w:rsidRPr="005500DC" w:rsidRDefault="005500DC" w:rsidP="005500DC">
      <w:pPr>
        <w:ind w:firstLine="360"/>
        <w:jc w:val="center"/>
        <w:rPr>
          <w:b/>
        </w:rPr>
      </w:pPr>
    </w:p>
    <w:p w14:paraId="22E15F4D" w14:textId="680A15E1" w:rsidR="000115A5" w:rsidRDefault="000115A5" w:rsidP="00CF063D">
      <w:pPr>
        <w:ind w:firstLine="360"/>
      </w:pPr>
      <w:r>
        <w:t xml:space="preserve">The Sumerian story of </w:t>
      </w:r>
      <w:proofErr w:type="spellStart"/>
      <w:r>
        <w:t>Ziusudra</w:t>
      </w:r>
      <w:proofErr w:type="spellEnd"/>
      <w:r>
        <w:t xml:space="preserve"> is similar to the Genesis [flood] account. In both, the flood is the deliberate result of a divine decision, and one individual is chosen to be saved and is told to build a boat as a means of survival. In both, instructions are given as to who and what shall board, the flood exterminates all living things, the boat comes to rest on a mountaintop, and the hero sends out birds to reconnoiter the ground. In both, the emerging hero </w:t>
      </w:r>
      <w:r w:rsidR="00CF063D">
        <w:t xml:space="preserve">erects an altar, offers a sacrifice, and is blessed. </w:t>
      </w:r>
    </w:p>
    <w:p w14:paraId="4F76A7ED" w14:textId="5F5EED49" w:rsidR="00CF063D" w:rsidRDefault="00CF063D" w:rsidP="00CF063D">
      <w:pPr>
        <w:ind w:firstLine="450"/>
      </w:pPr>
      <w:r>
        <w:t xml:space="preserve">But there are significant contrasts between the Mesopotamian stories and their Israelite adaptation. In the Epic of Gilgamesh, no motive is mentioned for the divine destruction. It seems to be a divine act of pure capriciousness. The Epic of </w:t>
      </w:r>
      <w:proofErr w:type="spellStart"/>
      <w:r>
        <w:t>Atrahasis</w:t>
      </w:r>
      <w:proofErr w:type="spellEnd"/>
      <w:r>
        <w:t xml:space="preserve"> suggests a reason. The text states:</w:t>
      </w:r>
    </w:p>
    <w:p w14:paraId="57C1EF6C" w14:textId="77777777" w:rsidR="00CF063D" w:rsidRPr="00CF063D" w:rsidRDefault="00CF063D" w:rsidP="00CF063D">
      <w:pPr>
        <w:ind w:firstLine="450"/>
        <w:rPr>
          <w:sz w:val="20"/>
          <w:szCs w:val="20"/>
        </w:rPr>
      </w:pPr>
    </w:p>
    <w:p w14:paraId="1B2E8C6B" w14:textId="460ADD46" w:rsidR="00CF063D" w:rsidRDefault="00CF063D" w:rsidP="00CF063D">
      <w:pPr>
        <w:ind w:left="360"/>
        <w:rPr>
          <w:sz w:val="20"/>
          <w:szCs w:val="20"/>
        </w:rPr>
      </w:pPr>
      <w:r w:rsidRPr="00CF063D">
        <w:rPr>
          <w:sz w:val="20"/>
          <w:szCs w:val="20"/>
        </w:rPr>
        <w:t>The land became wide and the people became numerous; the land bellowed like wild oxen. The god was disturbed by their uproar. Enlil heard the clamor and said to the gods, “Oppressive has become the clamor of humankind. By their uproar they prevent sleep.”</w:t>
      </w:r>
    </w:p>
    <w:p w14:paraId="29D79482" w14:textId="77777777" w:rsidR="00CF063D" w:rsidRPr="00CF063D" w:rsidRDefault="00CF063D" w:rsidP="00CF063D">
      <w:pPr>
        <w:ind w:left="360"/>
        <w:rPr>
          <w:sz w:val="20"/>
          <w:szCs w:val="20"/>
        </w:rPr>
      </w:pPr>
    </w:p>
    <w:p w14:paraId="647F3BCA" w14:textId="56BF7AF4" w:rsidR="00CF063D" w:rsidRDefault="00CF063D" w:rsidP="000115A5">
      <w:r>
        <w:t xml:space="preserve">It seems that humankind is to be destroyed because the gods are irritated by their tumult and noise. In the Epic of Gilgamesh, </w:t>
      </w:r>
      <w:proofErr w:type="spellStart"/>
      <w:r>
        <w:t>Ea</w:t>
      </w:r>
      <w:proofErr w:type="spellEnd"/>
      <w:r>
        <w:t xml:space="preserve"> asks Enlil how he could have brought on the flood so senselessly. “Lay upon the sinner the sin, lay upon the transgressor his transgression.” Pure capriciousness was the cause. The Bible rejects this portrait by providing a moral rationale for deity’s actions. The earth is destroyed because of </w:t>
      </w:r>
      <w:proofErr w:type="spellStart"/>
      <w:r>
        <w:rPr>
          <w:i/>
        </w:rPr>
        <w:t>hamas</w:t>
      </w:r>
      <w:proofErr w:type="spellEnd"/>
      <w:r>
        <w:t xml:space="preserve"> (literally, “violence and bloodshed” but including all kinds of injustice and oppression), and Noah is saved because of his righteousness. In this story, Israel’s god does not act capriciously but according to clear standards of justice. </w:t>
      </w:r>
    </w:p>
    <w:p w14:paraId="0ADCC553" w14:textId="68463271" w:rsidR="00CF063D" w:rsidRPr="00CF063D" w:rsidRDefault="00CF063D" w:rsidP="005500DC">
      <w:pPr>
        <w:ind w:firstLine="360"/>
      </w:pPr>
      <w:r>
        <w:t xml:space="preserve">Moreover, in the Mesopotamian flood story, the gods do not appear to be in control. Enlil </w:t>
      </w:r>
      <w:proofErr w:type="gramStart"/>
      <w:r>
        <w:t>wanted</w:t>
      </w:r>
      <w:proofErr w:type="gramEnd"/>
      <w:r>
        <w:t xml:space="preserve"> to destroy all humankind, but the god </w:t>
      </w:r>
      <w:proofErr w:type="spellStart"/>
      <w:r>
        <w:t>Ea</w:t>
      </w:r>
      <w:proofErr w:type="spellEnd"/>
      <w:r>
        <w:t xml:space="preserve"> thwarts that plan by dropping hints of the impending disasters to the </w:t>
      </w:r>
      <w:proofErr w:type="spellStart"/>
      <w:r>
        <w:t>Utnapishtim</w:t>
      </w:r>
      <w:proofErr w:type="spellEnd"/>
      <w:r>
        <w:t>. When the flood comes, the gods themselves are terrified and cower, as the text says, “</w:t>
      </w:r>
      <w:proofErr w:type="gramStart"/>
      <w:r>
        <w:t>like</w:t>
      </w:r>
      <w:proofErr w:type="gramEnd"/>
      <w:r>
        <w:t xml:space="preserve"> dogs crouches against the outer wall; Ishtar cried out like a woman in travail.” Moreover, the flood depress the gods of food and drink. Famished, they crowd around </w:t>
      </w:r>
      <w:proofErr w:type="spellStart"/>
      <w:r>
        <w:t>Utnapishtim’s</w:t>
      </w:r>
      <w:proofErr w:type="spellEnd"/>
      <w:r>
        <w:t xml:space="preserve"> sacrifice like flies. By contrast, in the biblical flood story Yahweh does not need Noah’s postdiluvian sacrifice as food. He is unthreatened by the forces of nature that he unleashes. He makes the decision to pun</w:t>
      </w:r>
      <w:r w:rsidR="005500DC">
        <w:t xml:space="preserve">ish </w:t>
      </w:r>
      <w:r>
        <w:t xml:space="preserve">humans because the world has corrupted itself through bloodshed and violence. He selects Noah to survive because of his righteousness and issues a direct command to him to build an ark. Yahweh has a clear purpose and retains control throughout the story. </w:t>
      </w:r>
    </w:p>
    <w:p w14:paraId="2F2FB660" w14:textId="6499B764" w:rsidR="000115A5" w:rsidRDefault="005500DC" w:rsidP="005500DC">
      <w:pPr>
        <w:pBdr>
          <w:bottom w:val="double" w:sz="6" w:space="1" w:color="auto"/>
        </w:pBdr>
        <w:jc w:val="right"/>
        <w:rPr>
          <w:sz w:val="20"/>
        </w:rPr>
      </w:pPr>
      <w:r>
        <w:rPr>
          <w:sz w:val="20"/>
        </w:rPr>
        <w:t>Dr. Christine Hayes, Introduction to the Bible, 52-53.</w:t>
      </w:r>
    </w:p>
    <w:p w14:paraId="781D67A4" w14:textId="77777777" w:rsidR="005500DC" w:rsidRPr="008433A6" w:rsidRDefault="005500DC" w:rsidP="005500DC">
      <w:pPr>
        <w:pBdr>
          <w:bottom w:val="double" w:sz="6" w:space="1" w:color="auto"/>
        </w:pBdr>
        <w:jc w:val="right"/>
        <w:rPr>
          <w:sz w:val="20"/>
        </w:rPr>
      </w:pPr>
    </w:p>
    <w:p w14:paraId="054618B8" w14:textId="388DC513" w:rsidR="005473C7" w:rsidRPr="008433A6" w:rsidRDefault="005473C7" w:rsidP="000F5EB1">
      <w:pPr>
        <w:rPr>
          <w:sz w:val="20"/>
        </w:rPr>
      </w:pPr>
    </w:p>
    <w:p w14:paraId="3F2CFDF8" w14:textId="31CE4C82" w:rsidR="000F5EB1" w:rsidRDefault="000F5EB1" w:rsidP="009C6E8A">
      <w:pPr>
        <w:ind w:firstLine="360"/>
        <w:jc w:val="center"/>
        <w:rPr>
          <w:b/>
        </w:rPr>
      </w:pPr>
      <w:r w:rsidRPr="008433A6">
        <w:rPr>
          <w:b/>
        </w:rPr>
        <w:t xml:space="preserve">On Genesis 6:1-2, 21 </w:t>
      </w:r>
    </w:p>
    <w:p w14:paraId="5259F290" w14:textId="77777777" w:rsidR="005500DC" w:rsidRPr="009C6E8A" w:rsidRDefault="005500DC" w:rsidP="009C6E8A">
      <w:pPr>
        <w:ind w:firstLine="360"/>
        <w:jc w:val="center"/>
        <w:rPr>
          <w:b/>
        </w:rPr>
      </w:pPr>
    </w:p>
    <w:p w14:paraId="3C17F061" w14:textId="77777777" w:rsidR="000F5EB1" w:rsidRPr="008433A6" w:rsidRDefault="000F5EB1" w:rsidP="000F5EB1">
      <w:pPr>
        <w:ind w:firstLine="360"/>
      </w:pPr>
      <w:r w:rsidRPr="008433A6">
        <w:t xml:space="preserve">Many people think these verses in Genesis 6 preserve a fragment of a mythological account in which it was taught that divine beings (“sons of God”) came to earth and had sexual relations with human women (“daughters of men”).  For Latter-day Saints, Moses 8:13-16 helps clarify </w:t>
      </w:r>
      <w:r w:rsidRPr="008433A6">
        <w:lastRenderedPageBreak/>
        <w:t xml:space="preserve">what these verses in Genesis 6 mean.  Notice that Moses 8:13 refers to Noah and his sons as “the sons of God” because they “hearkened unto the Lord” and honored their gospel covenants.  Moses 8:14-15 continues:  “And when these [righteous] men began to multiply on the face of the earth, and daughters were born unto them, the sons of men saw that those daughters were fair, and they took them wives, even as they chose.  And the Lord said unto Noah:  The daughters of thy sons have sold themselves; for behold mine anger is kindled against the sons of men, for they will not hearken to my voice.”  </w:t>
      </w:r>
    </w:p>
    <w:p w14:paraId="7D6D988B" w14:textId="77777777" w:rsidR="000F5EB1" w:rsidRPr="008433A6" w:rsidRDefault="000F5EB1" w:rsidP="000F5EB1">
      <w:pPr>
        <w:ind w:firstLine="360"/>
      </w:pPr>
      <w:r w:rsidRPr="008433A6">
        <w:t xml:space="preserve">In this case, the phrase “sold themselves” indicates that Noah’s granddaughters shortchanged themselves of gospel and spiritual opportunities by marrying “the sons of men,” i.e., those who were not faithful in honoring their covenants and their priesthood—those who were not living like “sons of God.”  There is thus no mythological element in this account, only a very important spiritual one—that we must live and marry wisely.  Referring to Noah’s granddaughters, Alan Parrish observed, “Their story stands as a startling reminder that things embraced in the gospel plan have eternal ramifications that far outweigh the temporal satisfactions that end with mortal associations” (“The Days of Noah,” in </w:t>
      </w:r>
      <w:r w:rsidRPr="008433A6">
        <w:rPr>
          <w:i/>
        </w:rPr>
        <w:t>The Pearl of Great Price</w:t>
      </w:r>
      <w:r w:rsidRPr="008433A6">
        <w:t xml:space="preserve">, ed. by Kent P. Jackson and Robert L. Millet, 152).  </w:t>
      </w:r>
    </w:p>
    <w:p w14:paraId="70820E7E" w14:textId="77777777" w:rsidR="000F5EB1" w:rsidRPr="008433A6" w:rsidRDefault="000F5EB1" w:rsidP="005473C7">
      <w:pPr>
        <w:ind w:firstLine="360"/>
        <w:jc w:val="right"/>
        <w:rPr>
          <w:sz w:val="20"/>
        </w:rPr>
      </w:pPr>
      <w:r w:rsidRPr="008433A6">
        <w:rPr>
          <w:sz w:val="20"/>
        </w:rPr>
        <w:t>[DMP]</w:t>
      </w:r>
    </w:p>
    <w:p w14:paraId="7E7A79BC" w14:textId="77777777" w:rsidR="000F5EB1" w:rsidRPr="008433A6" w:rsidRDefault="000F5EB1" w:rsidP="000F5EB1">
      <w:pPr>
        <w:pBdr>
          <w:bottom w:val="double" w:sz="6" w:space="1" w:color="auto"/>
        </w:pBdr>
        <w:rPr>
          <w:sz w:val="20"/>
        </w:rPr>
      </w:pPr>
    </w:p>
    <w:p w14:paraId="3B9D21B9" w14:textId="77777777" w:rsidR="000F5EB1" w:rsidRPr="008433A6" w:rsidRDefault="000F5EB1" w:rsidP="000F5EB1">
      <w:pPr>
        <w:rPr>
          <w:lang w:eastAsia="ja-JP"/>
        </w:rPr>
      </w:pPr>
    </w:p>
    <w:p w14:paraId="6F4857C9" w14:textId="5FBB6842" w:rsidR="000F5EB1" w:rsidRDefault="000F5EB1" w:rsidP="009C6E8A">
      <w:pPr>
        <w:jc w:val="center"/>
        <w:rPr>
          <w:b/>
          <w:lang w:eastAsia="ja-JP"/>
        </w:rPr>
      </w:pPr>
      <w:r w:rsidRPr="008433A6">
        <w:rPr>
          <w:b/>
          <w:lang w:eastAsia="ja-JP"/>
        </w:rPr>
        <w:t>Genesis 9:20–27.  Why Did Noah Curse Canaan?</w:t>
      </w:r>
    </w:p>
    <w:p w14:paraId="339BA609" w14:textId="77777777" w:rsidR="005500DC" w:rsidRPr="009C6E8A" w:rsidRDefault="005500DC" w:rsidP="009C6E8A">
      <w:pPr>
        <w:jc w:val="center"/>
        <w:rPr>
          <w:b/>
          <w:lang w:eastAsia="ja-JP"/>
        </w:rPr>
      </w:pPr>
    </w:p>
    <w:p w14:paraId="455CA77D" w14:textId="77777777" w:rsidR="000F5EB1" w:rsidRPr="008433A6" w:rsidRDefault="000F5EB1" w:rsidP="000F5EB1">
      <w:pPr>
        <w:ind w:firstLine="360"/>
        <w:rPr>
          <w:lang w:eastAsia="ja-JP"/>
        </w:rPr>
      </w:pPr>
      <w:r w:rsidRPr="008433A6">
        <w:rPr>
          <w:lang w:eastAsia="ja-JP"/>
        </w:rPr>
        <w:t>The account of Noah’s “nakedness” and the role his sons played in the event is a puzzling one, especially the part in which Noah awakens and pronounces a curse upon Canaan, the son of Ham (see Genesis 10:6), who does not even seem to be present at the time.</w:t>
      </w:r>
    </w:p>
    <w:p w14:paraId="0E924ECA" w14:textId="77777777" w:rsidR="000F5EB1" w:rsidRPr="008433A6" w:rsidRDefault="000F5EB1" w:rsidP="005500DC">
      <w:pPr>
        <w:ind w:firstLine="360"/>
        <w:rPr>
          <w:lang w:eastAsia="ja-JP"/>
        </w:rPr>
      </w:pPr>
      <w:r w:rsidRPr="008433A6">
        <w:rPr>
          <w:lang w:eastAsia="ja-JP"/>
        </w:rPr>
        <w:t xml:space="preserve">Most members of the [LDS] Church are aware that a priesthood garment, symbolic of the covenants made in the temple, is worn by those who have participated in the endowment ceremony in the temple.  This garment is a representation of the coat of skins made by the Lord for Adam and Eve after the </w:t>
      </w:r>
      <w:proofErr w:type="gramStart"/>
      <w:r w:rsidRPr="008433A6">
        <w:rPr>
          <w:lang w:eastAsia="ja-JP"/>
        </w:rPr>
        <w:t>Fall</w:t>
      </w:r>
      <w:proofErr w:type="gramEnd"/>
      <w:r w:rsidRPr="008433A6">
        <w:rPr>
          <w:lang w:eastAsia="ja-JP"/>
        </w:rPr>
        <w:t xml:space="preserve"> (see Genesis 3:21; Moses 4:27).  The idea of a garment made of skins that signified that one had power in the priesthood is found in several ancient [</w:t>
      </w:r>
      <w:proofErr w:type="spellStart"/>
      <w:r w:rsidRPr="008433A6">
        <w:rPr>
          <w:lang w:eastAsia="ja-JP"/>
        </w:rPr>
        <w:t>pseudepigraphic</w:t>
      </w:r>
      <w:proofErr w:type="spellEnd"/>
      <w:r w:rsidRPr="008433A6">
        <w:rPr>
          <w:lang w:eastAsia="ja-JP"/>
        </w:rPr>
        <w:t xml:space="preserve">] writings.  Hugh Nibley discussed some of these ancient writings and their implications for the passage in Genesis:  “Nimrod claimed his kingship on the ground of victory over his enemies [see Genesis 10:8–10]; his priesthood, however, he claimed by virtue of possessing ‘the garment of Adam.’ … Incidentally the story of the stolen garment as told by the rabbis, including the great </w:t>
      </w:r>
      <w:proofErr w:type="spellStart"/>
      <w:r w:rsidRPr="008433A6">
        <w:rPr>
          <w:lang w:eastAsia="ja-JP"/>
        </w:rPr>
        <w:t>Eleazer</w:t>
      </w:r>
      <w:proofErr w:type="spellEnd"/>
      <w:r w:rsidRPr="008433A6">
        <w:rPr>
          <w:lang w:eastAsia="ja-JP"/>
        </w:rPr>
        <w:t xml:space="preserve">, calls for an entirely different rendering of the strange story in Genesis [9] from the version in our King James Bible.  They seemed to think that the </w:t>
      </w:r>
      <w:r w:rsidRPr="008433A6">
        <w:rPr>
          <w:i/>
          <w:lang w:eastAsia="ja-JP"/>
        </w:rPr>
        <w:t>‘</w:t>
      </w:r>
      <w:proofErr w:type="spellStart"/>
      <w:r w:rsidRPr="008433A6">
        <w:rPr>
          <w:i/>
          <w:lang w:eastAsia="ja-JP"/>
        </w:rPr>
        <w:t>erwath</w:t>
      </w:r>
      <w:proofErr w:type="spellEnd"/>
      <w:r w:rsidRPr="008433A6">
        <w:rPr>
          <w:lang w:eastAsia="ja-JP"/>
        </w:rPr>
        <w:t xml:space="preserve"> of Genesis [9:22] did not mean ‘nakedness’ at all, but should be given its primary root meaning of ‘skin covering.’  Read thus, we are to understand that Ham took the garment of his father while he was sleeping and showed it to his brethren, Shem and Japheth, who took a pattern or copy of it (</w:t>
      </w:r>
      <w:proofErr w:type="spellStart"/>
      <w:r w:rsidRPr="008433A6">
        <w:rPr>
          <w:i/>
          <w:lang w:eastAsia="ja-JP"/>
        </w:rPr>
        <w:t>salmah</w:t>
      </w:r>
      <w:proofErr w:type="spellEnd"/>
      <w:r w:rsidRPr="008433A6">
        <w:rPr>
          <w:lang w:eastAsia="ja-JP"/>
        </w:rPr>
        <w:t>) or else a woven garment like it (</w:t>
      </w:r>
      <w:proofErr w:type="spellStart"/>
      <w:r w:rsidRPr="008433A6">
        <w:rPr>
          <w:i/>
          <w:lang w:eastAsia="ja-JP"/>
        </w:rPr>
        <w:t>simlah</w:t>
      </w:r>
      <w:proofErr w:type="spellEnd"/>
      <w:r w:rsidRPr="008433A6">
        <w:rPr>
          <w:lang w:eastAsia="ja-JP"/>
        </w:rPr>
        <w:t>) which they put upon their own shoulders, returning the skin garment to their father.  Upon awaking, Noah recognized the priesthood of two sons but cursed the son who tried to rob him of his garment.” (</w:t>
      </w:r>
      <w:r w:rsidRPr="008433A6">
        <w:rPr>
          <w:i/>
          <w:lang w:eastAsia="ja-JP"/>
        </w:rPr>
        <w:t xml:space="preserve">Lehi in the Desert and the World of </w:t>
      </w:r>
      <w:proofErr w:type="spellStart"/>
      <w:r w:rsidRPr="008433A6">
        <w:rPr>
          <w:i/>
          <w:lang w:eastAsia="ja-JP"/>
        </w:rPr>
        <w:t>Jaredites</w:t>
      </w:r>
      <w:proofErr w:type="spellEnd"/>
      <w:r w:rsidRPr="008433A6">
        <w:rPr>
          <w:lang w:eastAsia="ja-JP"/>
        </w:rPr>
        <w:t xml:space="preserve">, pp. 160–62.)  Therefore, although Ham himself had the right to the priesthood, Canaan, his son, did not.  </w:t>
      </w:r>
    </w:p>
    <w:p w14:paraId="01347DEB" w14:textId="38683B24" w:rsidR="000F5EB1" w:rsidRPr="009C6E8A" w:rsidRDefault="000F5EB1" w:rsidP="009C6E8A">
      <w:pPr>
        <w:jc w:val="right"/>
        <w:rPr>
          <w:sz w:val="20"/>
          <w:lang w:eastAsia="ja-JP"/>
        </w:rPr>
      </w:pPr>
      <w:r w:rsidRPr="008433A6">
        <w:rPr>
          <w:i/>
          <w:sz w:val="20"/>
        </w:rPr>
        <w:t>LDS Old Testament Student Manual: Genesis–2 Samuel</w:t>
      </w:r>
      <w:r w:rsidRPr="008433A6">
        <w:rPr>
          <w:sz w:val="20"/>
          <w:lang w:eastAsia="ja-JP"/>
        </w:rPr>
        <w:t>, 57.</w:t>
      </w:r>
    </w:p>
    <w:p w14:paraId="55CF4430" w14:textId="77777777" w:rsidR="000F5EB1" w:rsidRPr="008433A6" w:rsidRDefault="000F5EB1" w:rsidP="000F5EB1">
      <w:pPr>
        <w:pBdr>
          <w:bottom w:val="double" w:sz="6" w:space="1" w:color="auto"/>
        </w:pBdr>
        <w:rPr>
          <w:b/>
          <w:i/>
        </w:rPr>
      </w:pPr>
      <w:r w:rsidRPr="008433A6">
        <w:rPr>
          <w:b/>
          <w:i/>
        </w:rPr>
        <w:t>Here are some other explanations:</w:t>
      </w:r>
    </w:p>
    <w:p w14:paraId="0B77B88A" w14:textId="77777777" w:rsidR="000F5EB1" w:rsidRPr="008433A6" w:rsidRDefault="000F5EB1" w:rsidP="000F5EB1">
      <w:pPr>
        <w:pBdr>
          <w:bottom w:val="double" w:sz="6" w:space="1" w:color="auto"/>
        </w:pBdr>
      </w:pPr>
    </w:p>
    <w:p w14:paraId="0AEF2F92" w14:textId="77777777" w:rsidR="000F5EB1" w:rsidRPr="008433A6" w:rsidRDefault="000F5EB1" w:rsidP="000F5EB1">
      <w:pPr>
        <w:pBdr>
          <w:bottom w:val="double" w:sz="6" w:space="1" w:color="auto"/>
        </w:pBdr>
        <w:ind w:firstLine="360"/>
      </w:pPr>
      <w:r w:rsidRPr="008433A6">
        <w:lastRenderedPageBreak/>
        <w:t xml:space="preserve">Although total nudity could be associated with the innocence of a newborn child (Job 1:21; cf. Gen. 2:25; Ezek. 16:7), it was most often a euphemism for sexual organs or sexual activity (Lev. 18:1-23; 20:10-21; Ezek. 16:8).  This range of euphemistic meaning has complicated attempts to understand the precise nature of Ham’s offense against Noah when he “saw his father’s nakedness” (Gen. 9:22).  Commentators have suggested that Ham may have taken the occasion of Noah’s drunkenness to engage in either some form of sexual conduct with his father or an incestuous relationship with Noah’s wife.  More likely the phrase is to be understood quite literally in this instance (cf. Gen. 9:21, 23), and the severity of Noah’s response relates to the affront to his dignity and Ham’s disrespect. </w:t>
      </w:r>
    </w:p>
    <w:p w14:paraId="1500B8AD" w14:textId="77777777" w:rsidR="000F5EB1" w:rsidRPr="008433A6" w:rsidRDefault="000F5EB1" w:rsidP="005473C7">
      <w:pPr>
        <w:pBdr>
          <w:bottom w:val="double" w:sz="6" w:space="1" w:color="auto"/>
        </w:pBdr>
        <w:jc w:val="right"/>
        <w:rPr>
          <w:sz w:val="20"/>
        </w:rPr>
      </w:pPr>
      <w:r w:rsidRPr="008433A6">
        <w:rPr>
          <w:i/>
          <w:sz w:val="20"/>
        </w:rPr>
        <w:t>Eerdmans Dictionary of the Bible</w:t>
      </w:r>
      <w:r w:rsidRPr="008433A6">
        <w:rPr>
          <w:sz w:val="20"/>
        </w:rPr>
        <w:t xml:space="preserve"> (2000), s. v., “Nakedness”.</w:t>
      </w:r>
    </w:p>
    <w:p w14:paraId="57B98702" w14:textId="77777777" w:rsidR="000F5EB1" w:rsidRPr="008433A6" w:rsidRDefault="000F5EB1" w:rsidP="000F5EB1">
      <w:pPr>
        <w:pBdr>
          <w:bottom w:val="double" w:sz="6" w:space="1" w:color="auto"/>
        </w:pBdr>
        <w:jc w:val="right"/>
        <w:rPr>
          <w:sz w:val="20"/>
        </w:rPr>
      </w:pPr>
    </w:p>
    <w:p w14:paraId="037D407B" w14:textId="77777777" w:rsidR="000F5EB1" w:rsidRPr="008433A6" w:rsidRDefault="000F5EB1" w:rsidP="005473C7">
      <w:pPr>
        <w:pBdr>
          <w:bottom w:val="double" w:sz="6" w:space="1" w:color="auto"/>
        </w:pBdr>
        <w:ind w:firstLine="360"/>
      </w:pPr>
      <w:r w:rsidRPr="008433A6">
        <w:t xml:space="preserve">Drunkenness was among the more prevalent social problems of the ancient world, and its effects were long lasting on families and nations of the Old Testament.  Noah and Lot serve as examples of inebriation leading to improper sexual relationships (Gen. 9:21-27; 19:30-38).  </w:t>
      </w:r>
    </w:p>
    <w:p w14:paraId="771F5F9C" w14:textId="77777777" w:rsidR="000F5EB1" w:rsidRDefault="000F5EB1" w:rsidP="000F5EB1">
      <w:pPr>
        <w:pBdr>
          <w:bottom w:val="double" w:sz="6" w:space="1" w:color="auto"/>
        </w:pBdr>
        <w:jc w:val="right"/>
        <w:rPr>
          <w:sz w:val="20"/>
        </w:rPr>
      </w:pPr>
      <w:r w:rsidRPr="008433A6">
        <w:rPr>
          <w:i/>
          <w:sz w:val="20"/>
        </w:rPr>
        <w:t>Eerdmans Dictionary of the Bible</w:t>
      </w:r>
      <w:r w:rsidRPr="008433A6">
        <w:rPr>
          <w:sz w:val="20"/>
        </w:rPr>
        <w:t xml:space="preserve"> (2000), s. v., “Drunkenness”.</w:t>
      </w:r>
    </w:p>
    <w:p w14:paraId="2F67CC7C" w14:textId="77777777" w:rsidR="005500DC" w:rsidRPr="00413C36" w:rsidRDefault="005500DC" w:rsidP="009C6E8A">
      <w:pPr>
        <w:pBdr>
          <w:bottom w:val="double" w:sz="6" w:space="1" w:color="auto"/>
        </w:pBdr>
        <w:jc w:val="right"/>
        <w:rPr>
          <w:rFonts w:eastAsia="Times New Roman" w:cs="Symbol"/>
          <w:sz w:val="20"/>
        </w:rPr>
      </w:pPr>
    </w:p>
    <w:p w14:paraId="5E035279" w14:textId="77777777" w:rsidR="009C6E8A" w:rsidRDefault="009C6E8A"/>
    <w:p w14:paraId="12228783" w14:textId="3E01C3C5" w:rsidR="000F5EB1" w:rsidRPr="008433A6" w:rsidRDefault="007A60B8" w:rsidP="000F5EB1">
      <w:pPr>
        <w:jc w:val="center"/>
        <w:rPr>
          <w:b/>
        </w:rPr>
      </w:pPr>
      <w:proofErr w:type="spellStart"/>
      <w:r>
        <w:rPr>
          <w:b/>
        </w:rPr>
        <w:t>Coogan</w:t>
      </w:r>
      <w:proofErr w:type="spellEnd"/>
      <w:r>
        <w:rPr>
          <w:b/>
        </w:rPr>
        <w:t xml:space="preserve"> on Documentary Hypothesis &amp; Noah </w:t>
      </w:r>
      <w:proofErr w:type="spellStart"/>
      <w:r w:rsidR="00852DC6">
        <w:rPr>
          <w:b/>
        </w:rPr>
        <w:t>pgs</w:t>
      </w:r>
      <w:proofErr w:type="spellEnd"/>
      <w:r w:rsidR="00852DC6">
        <w:rPr>
          <w:b/>
        </w:rPr>
        <w:t xml:space="preserve"> 52-55</w:t>
      </w:r>
      <w:r>
        <w:rPr>
          <w:b/>
        </w:rPr>
        <w:t xml:space="preserve"> (see pdf)</w:t>
      </w:r>
    </w:p>
    <w:p w14:paraId="34809587" w14:textId="11B1B4AA" w:rsidR="000F5EB1" w:rsidRDefault="000F5EB1"/>
    <w:sectPr w:rsidR="000F5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6C"/>
    <w:rsid w:val="000115A5"/>
    <w:rsid w:val="000774A3"/>
    <w:rsid w:val="000F5EB1"/>
    <w:rsid w:val="004F4874"/>
    <w:rsid w:val="005473C7"/>
    <w:rsid w:val="005500DC"/>
    <w:rsid w:val="005E5AB7"/>
    <w:rsid w:val="00635B6E"/>
    <w:rsid w:val="007A60B8"/>
    <w:rsid w:val="00852DC6"/>
    <w:rsid w:val="00881B1D"/>
    <w:rsid w:val="00906221"/>
    <w:rsid w:val="009419E2"/>
    <w:rsid w:val="009A1604"/>
    <w:rsid w:val="009C6E8A"/>
    <w:rsid w:val="00BC6B6C"/>
    <w:rsid w:val="00CD006C"/>
    <w:rsid w:val="00CF063D"/>
    <w:rsid w:val="00D456E2"/>
    <w:rsid w:val="00D90609"/>
    <w:rsid w:val="00E16F64"/>
    <w:rsid w:val="00EA5DCC"/>
    <w:rsid w:val="00F0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1DA8"/>
  <w15:chartTrackingRefBased/>
  <w15:docId w15:val="{03505DAC-4B2D-4492-9976-E599AE49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B6C"/>
    <w:pPr>
      <w:spacing w:after="0" w:line="240" w:lineRule="auto"/>
    </w:pPr>
    <w:rPr>
      <w:rFonts w:ascii="Times New Roman" w:eastAsia="Times" w:hAnsi="Times New Roman" w:cs="Times New Roman"/>
      <w:sz w:val="24"/>
      <w:szCs w:val="24"/>
    </w:rPr>
  </w:style>
  <w:style w:type="paragraph" w:styleId="Heading2">
    <w:name w:val="heading 2"/>
    <w:basedOn w:val="Normal"/>
    <w:next w:val="Normal"/>
    <w:link w:val="Heading2Char"/>
    <w:qFormat/>
    <w:rsid w:val="000F5EB1"/>
    <w:pPr>
      <w:keepNext/>
      <w:spacing w:line="480" w:lineRule="auto"/>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F5EB1"/>
    <w:rPr>
      <w:rFonts w:ascii="Times New Roman" w:eastAsia="Times" w:hAnsi="Times New Roman" w:cs="Times New Roman"/>
      <w:b/>
      <w:sz w:val="24"/>
      <w:szCs w:val="24"/>
    </w:rPr>
  </w:style>
  <w:style w:type="character" w:styleId="CommentReference">
    <w:name w:val="annotation reference"/>
    <w:basedOn w:val="DefaultParagraphFont"/>
    <w:uiPriority w:val="99"/>
    <w:semiHidden/>
    <w:unhideWhenUsed/>
    <w:rsid w:val="005473C7"/>
    <w:rPr>
      <w:sz w:val="16"/>
      <w:szCs w:val="16"/>
    </w:rPr>
  </w:style>
  <w:style w:type="paragraph" w:styleId="CommentText">
    <w:name w:val="annotation text"/>
    <w:basedOn w:val="Normal"/>
    <w:link w:val="CommentTextChar"/>
    <w:uiPriority w:val="99"/>
    <w:semiHidden/>
    <w:unhideWhenUsed/>
    <w:rsid w:val="005473C7"/>
    <w:rPr>
      <w:sz w:val="20"/>
      <w:szCs w:val="20"/>
    </w:rPr>
  </w:style>
  <w:style w:type="character" w:customStyle="1" w:styleId="CommentTextChar">
    <w:name w:val="Comment Text Char"/>
    <w:basedOn w:val="DefaultParagraphFont"/>
    <w:link w:val="CommentText"/>
    <w:uiPriority w:val="99"/>
    <w:semiHidden/>
    <w:rsid w:val="005473C7"/>
    <w:rPr>
      <w:rFonts w:ascii="Times New Roman" w:eastAsia="Times"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473C7"/>
    <w:rPr>
      <w:b/>
      <w:bCs/>
    </w:rPr>
  </w:style>
  <w:style w:type="character" w:customStyle="1" w:styleId="CommentSubjectChar">
    <w:name w:val="Comment Subject Char"/>
    <w:basedOn w:val="CommentTextChar"/>
    <w:link w:val="CommentSubject"/>
    <w:uiPriority w:val="99"/>
    <w:semiHidden/>
    <w:rsid w:val="005473C7"/>
    <w:rPr>
      <w:rFonts w:ascii="Times New Roman" w:eastAsia="Times" w:hAnsi="Times New Roman" w:cs="Times New Roman"/>
      <w:b/>
      <w:bCs/>
      <w:sz w:val="20"/>
      <w:szCs w:val="20"/>
    </w:rPr>
  </w:style>
  <w:style w:type="paragraph" w:styleId="BalloonText">
    <w:name w:val="Balloon Text"/>
    <w:basedOn w:val="Normal"/>
    <w:link w:val="BalloonTextChar"/>
    <w:uiPriority w:val="99"/>
    <w:semiHidden/>
    <w:unhideWhenUsed/>
    <w:rsid w:val="005473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73C7"/>
    <w:rPr>
      <w:rFonts w:ascii="Segoe UI" w:eastAsia="Times"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13</cp:revision>
  <dcterms:created xsi:type="dcterms:W3CDTF">2021-02-09T20:08:00Z</dcterms:created>
  <dcterms:modified xsi:type="dcterms:W3CDTF">2021-07-17T04:06:00Z</dcterms:modified>
</cp:coreProperties>
</file>