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9F4" w:rsidRDefault="004609F4" w:rsidP="00974B7F">
      <w:pPr>
        <w:jc w:val="center"/>
        <w:rPr>
          <w:b/>
          <w:sz w:val="26"/>
          <w:szCs w:val="26"/>
        </w:rPr>
      </w:pPr>
      <w:r w:rsidRPr="00974B7F">
        <w:rPr>
          <w:b/>
          <w:sz w:val="26"/>
          <w:szCs w:val="26"/>
        </w:rPr>
        <w:t xml:space="preserve">Day 21 Ruth, Naomi, and Hannah: </w:t>
      </w:r>
      <w:r w:rsidR="00974B7F">
        <w:rPr>
          <w:b/>
          <w:sz w:val="26"/>
          <w:szCs w:val="26"/>
        </w:rPr>
        <w:t xml:space="preserve">Readings: </w:t>
      </w:r>
      <w:r w:rsidRPr="00974B7F">
        <w:rPr>
          <w:b/>
          <w:sz w:val="26"/>
          <w:szCs w:val="26"/>
        </w:rPr>
        <w:t>Ruth 1-4; 1 Samuel 1-2</w:t>
      </w:r>
    </w:p>
    <w:p w:rsidR="00001D78" w:rsidRPr="00001D78" w:rsidRDefault="00001D78" w:rsidP="00001D78">
      <w:pPr>
        <w:pStyle w:val="NoSpacing"/>
        <w:jc w:val="center"/>
        <w:rPr>
          <w:rFonts w:ascii="Times New Roman" w:hAnsi="Times New Roman" w:cs="Times New Roman"/>
          <w:sz w:val="24"/>
          <w:szCs w:val="24"/>
        </w:rPr>
      </w:pPr>
      <w:r w:rsidRPr="00001D78">
        <w:rPr>
          <w:rFonts w:ascii="Times New Roman" w:hAnsi="Times New Roman" w:cs="Times New Roman"/>
          <w:sz w:val="24"/>
          <w:szCs w:val="24"/>
        </w:rPr>
        <w:t xml:space="preserve">Overview of Ruth </w:t>
      </w:r>
      <w:hyperlink r:id="rId5" w:history="1">
        <w:r w:rsidRPr="00001D78">
          <w:rPr>
            <w:rStyle w:val="Hyperlink"/>
            <w:rFonts w:ascii="Times New Roman" w:hAnsi="Times New Roman" w:cs="Times New Roman"/>
            <w:sz w:val="24"/>
            <w:szCs w:val="24"/>
          </w:rPr>
          <w:t>https://www.youtube.com/watch?v=0h1eoBeR4Jk</w:t>
        </w:r>
      </w:hyperlink>
      <w:r w:rsidRPr="00001D78">
        <w:rPr>
          <w:rFonts w:ascii="Times New Roman" w:hAnsi="Times New Roman" w:cs="Times New Roman"/>
          <w:sz w:val="24"/>
          <w:szCs w:val="24"/>
        </w:rPr>
        <w:t xml:space="preserve"> (7:11)</w:t>
      </w:r>
    </w:p>
    <w:p w:rsidR="00001D78" w:rsidRPr="008433A6" w:rsidRDefault="00001D78" w:rsidP="00001D78">
      <w:pPr>
        <w:pStyle w:val="BodyTextIndent3"/>
        <w:pBdr>
          <w:bottom w:val="double" w:sz="6" w:space="1" w:color="auto"/>
        </w:pBdr>
        <w:ind w:left="0" w:firstLine="0"/>
      </w:pPr>
    </w:p>
    <w:p w:rsidR="00291382" w:rsidRDefault="00291382" w:rsidP="00001D78">
      <w:pPr>
        <w:pStyle w:val="BodyTextIndent3"/>
        <w:ind w:left="0" w:firstLine="0"/>
        <w:rPr>
          <w:b/>
        </w:rPr>
      </w:pPr>
    </w:p>
    <w:p w:rsidR="00291382" w:rsidRPr="003A3B11" w:rsidRDefault="00291382" w:rsidP="003A3B11">
      <w:pPr>
        <w:pStyle w:val="BodyTextIndent3"/>
        <w:ind w:left="0" w:firstLine="0"/>
        <w:jc w:val="center"/>
        <w:rPr>
          <w:b/>
        </w:rPr>
      </w:pPr>
      <w:r w:rsidRPr="008433A6">
        <w:rPr>
          <w:b/>
        </w:rPr>
        <w:t>A Basic Outline of the Book of Ruth</w:t>
      </w:r>
    </w:p>
    <w:p w:rsidR="00291382" w:rsidRPr="003A3B11" w:rsidRDefault="00291382" w:rsidP="00291382">
      <w:pPr>
        <w:pStyle w:val="BodyTextIndent3"/>
        <w:ind w:left="0" w:firstLine="0"/>
        <w:rPr>
          <w:sz w:val="23"/>
          <w:szCs w:val="23"/>
        </w:rPr>
      </w:pPr>
      <w:r w:rsidRPr="003A3B11">
        <w:rPr>
          <w:sz w:val="23"/>
          <w:szCs w:val="23"/>
        </w:rPr>
        <w:t>I.  Naomi Loses a Family (1:1-5)</w:t>
      </w:r>
    </w:p>
    <w:p w:rsidR="00291382" w:rsidRPr="003A3B11" w:rsidRDefault="00291382" w:rsidP="00291382">
      <w:pPr>
        <w:pStyle w:val="BodyTextIndent3"/>
        <w:ind w:left="0" w:firstLine="0"/>
        <w:rPr>
          <w:sz w:val="23"/>
          <w:szCs w:val="23"/>
        </w:rPr>
      </w:pPr>
    </w:p>
    <w:p w:rsidR="00291382" w:rsidRPr="003A3B11" w:rsidRDefault="00291382" w:rsidP="00291382">
      <w:pPr>
        <w:pStyle w:val="BodyTextIndent3"/>
        <w:ind w:left="0" w:firstLine="0"/>
        <w:rPr>
          <w:sz w:val="23"/>
          <w:szCs w:val="23"/>
        </w:rPr>
      </w:pPr>
      <w:r w:rsidRPr="003A3B11">
        <w:rPr>
          <w:sz w:val="23"/>
          <w:szCs w:val="23"/>
        </w:rPr>
        <w:t>II</w:t>
      </w:r>
      <w:proofErr w:type="gramStart"/>
      <w:r w:rsidRPr="003A3B11">
        <w:rPr>
          <w:sz w:val="23"/>
          <w:szCs w:val="23"/>
        </w:rPr>
        <w:t>.  Naomi</w:t>
      </w:r>
      <w:proofErr w:type="gramEnd"/>
      <w:r w:rsidRPr="003A3B11">
        <w:rPr>
          <w:sz w:val="23"/>
          <w:szCs w:val="23"/>
        </w:rPr>
        <w:t xml:space="preserve"> Returns from Moab (1:6-22)</w:t>
      </w:r>
    </w:p>
    <w:p w:rsidR="00291382" w:rsidRPr="003A3B11" w:rsidRDefault="00291382" w:rsidP="00291382">
      <w:pPr>
        <w:pStyle w:val="BodyTextIndent3"/>
        <w:ind w:left="0" w:firstLine="0"/>
        <w:rPr>
          <w:sz w:val="23"/>
          <w:szCs w:val="23"/>
        </w:rPr>
      </w:pPr>
    </w:p>
    <w:p w:rsidR="00291382" w:rsidRPr="003A3B11" w:rsidRDefault="00291382" w:rsidP="00291382">
      <w:pPr>
        <w:pStyle w:val="BodyTextIndent3"/>
        <w:ind w:left="0" w:firstLine="0"/>
        <w:rPr>
          <w:sz w:val="23"/>
          <w:szCs w:val="23"/>
        </w:rPr>
      </w:pPr>
      <w:r w:rsidRPr="003A3B11">
        <w:rPr>
          <w:sz w:val="23"/>
          <w:szCs w:val="23"/>
        </w:rPr>
        <w:t>III</w:t>
      </w:r>
      <w:proofErr w:type="gramStart"/>
      <w:r w:rsidRPr="003A3B11">
        <w:rPr>
          <w:sz w:val="23"/>
          <w:szCs w:val="23"/>
        </w:rPr>
        <w:t>.  Ruth</w:t>
      </w:r>
      <w:proofErr w:type="gramEnd"/>
      <w:r w:rsidRPr="003A3B11">
        <w:rPr>
          <w:sz w:val="23"/>
          <w:szCs w:val="23"/>
        </w:rPr>
        <w:t xml:space="preserve"> Goes to Work in the Fields of Boaz (2:1-23)</w:t>
      </w:r>
    </w:p>
    <w:p w:rsidR="00291382" w:rsidRPr="003A3B11" w:rsidRDefault="00291382" w:rsidP="00291382">
      <w:pPr>
        <w:pStyle w:val="BodyTextIndent3"/>
        <w:ind w:left="0" w:firstLine="0"/>
        <w:rPr>
          <w:sz w:val="23"/>
          <w:szCs w:val="23"/>
        </w:rPr>
      </w:pPr>
    </w:p>
    <w:p w:rsidR="00291382" w:rsidRPr="003A3B11" w:rsidRDefault="00291382" w:rsidP="00291382">
      <w:pPr>
        <w:pStyle w:val="BodyTextIndent3"/>
        <w:ind w:left="0" w:firstLine="0"/>
        <w:rPr>
          <w:sz w:val="23"/>
          <w:szCs w:val="23"/>
        </w:rPr>
      </w:pPr>
      <w:r w:rsidRPr="003A3B11">
        <w:rPr>
          <w:sz w:val="23"/>
          <w:szCs w:val="23"/>
        </w:rPr>
        <w:t>IV</w:t>
      </w:r>
      <w:proofErr w:type="gramStart"/>
      <w:r w:rsidRPr="003A3B11">
        <w:rPr>
          <w:sz w:val="23"/>
          <w:szCs w:val="23"/>
        </w:rPr>
        <w:t>.  Ruth</w:t>
      </w:r>
      <w:proofErr w:type="gramEnd"/>
      <w:r w:rsidRPr="003A3B11">
        <w:rPr>
          <w:sz w:val="23"/>
          <w:szCs w:val="23"/>
        </w:rPr>
        <w:t xml:space="preserve"> Visits Boaz at the Threshing Floor (3:1-18)</w:t>
      </w:r>
    </w:p>
    <w:p w:rsidR="00291382" w:rsidRPr="003A3B11" w:rsidRDefault="00291382" w:rsidP="00291382">
      <w:pPr>
        <w:pStyle w:val="BodyTextIndent3"/>
        <w:ind w:left="0" w:firstLine="0"/>
        <w:rPr>
          <w:sz w:val="23"/>
          <w:szCs w:val="23"/>
        </w:rPr>
      </w:pPr>
    </w:p>
    <w:p w:rsidR="00291382" w:rsidRPr="003A3B11" w:rsidRDefault="00291382" w:rsidP="00291382">
      <w:pPr>
        <w:pStyle w:val="BodyTextIndent3"/>
        <w:ind w:left="0" w:firstLine="0"/>
        <w:rPr>
          <w:sz w:val="23"/>
          <w:szCs w:val="23"/>
        </w:rPr>
      </w:pPr>
      <w:r w:rsidRPr="003A3B11">
        <w:rPr>
          <w:sz w:val="23"/>
          <w:szCs w:val="23"/>
        </w:rPr>
        <w:t>IV</w:t>
      </w:r>
      <w:proofErr w:type="gramStart"/>
      <w:r w:rsidRPr="003A3B11">
        <w:rPr>
          <w:sz w:val="23"/>
          <w:szCs w:val="23"/>
        </w:rPr>
        <w:t>.  Boaz</w:t>
      </w:r>
      <w:proofErr w:type="gramEnd"/>
      <w:r w:rsidRPr="003A3B11">
        <w:rPr>
          <w:sz w:val="23"/>
          <w:szCs w:val="23"/>
        </w:rPr>
        <w:t xml:space="preserve"> Redeems Ruth (4:1-12)</w:t>
      </w:r>
    </w:p>
    <w:p w:rsidR="00291382" w:rsidRPr="003A3B11" w:rsidRDefault="00291382" w:rsidP="00291382">
      <w:pPr>
        <w:pStyle w:val="BodyTextIndent3"/>
        <w:ind w:left="0" w:firstLine="0"/>
        <w:rPr>
          <w:sz w:val="23"/>
          <w:szCs w:val="23"/>
        </w:rPr>
      </w:pPr>
    </w:p>
    <w:p w:rsidR="00291382" w:rsidRPr="003A3B11" w:rsidRDefault="00291382" w:rsidP="00291382">
      <w:pPr>
        <w:pStyle w:val="BodyTextIndent3"/>
        <w:ind w:left="0" w:firstLine="0"/>
        <w:rPr>
          <w:sz w:val="23"/>
          <w:szCs w:val="23"/>
        </w:rPr>
      </w:pPr>
      <w:r w:rsidRPr="003A3B11">
        <w:rPr>
          <w:sz w:val="23"/>
          <w:szCs w:val="23"/>
        </w:rPr>
        <w:t>V.  Naomi Gains a Family (4:13-17)</w:t>
      </w:r>
    </w:p>
    <w:p w:rsidR="00291382" w:rsidRPr="003A3B11" w:rsidRDefault="00291382" w:rsidP="00291382">
      <w:pPr>
        <w:pStyle w:val="BodyTextIndent3"/>
        <w:ind w:left="0" w:firstLine="0"/>
        <w:rPr>
          <w:sz w:val="23"/>
          <w:szCs w:val="23"/>
        </w:rPr>
      </w:pPr>
      <w:bookmarkStart w:id="0" w:name="_GoBack"/>
      <w:bookmarkEnd w:id="0"/>
    </w:p>
    <w:p w:rsidR="00291382" w:rsidRPr="003A3B11" w:rsidRDefault="00291382" w:rsidP="00291382">
      <w:pPr>
        <w:pStyle w:val="BodyTextIndent3"/>
        <w:ind w:left="0" w:firstLine="0"/>
        <w:rPr>
          <w:sz w:val="23"/>
          <w:szCs w:val="23"/>
        </w:rPr>
      </w:pPr>
      <w:r w:rsidRPr="003A3B11">
        <w:rPr>
          <w:sz w:val="23"/>
          <w:szCs w:val="23"/>
        </w:rPr>
        <w:t>VI</w:t>
      </w:r>
      <w:proofErr w:type="gramStart"/>
      <w:r w:rsidRPr="003A3B11">
        <w:rPr>
          <w:sz w:val="23"/>
          <w:szCs w:val="23"/>
        </w:rPr>
        <w:t>.  The</w:t>
      </w:r>
      <w:proofErr w:type="gramEnd"/>
      <w:r w:rsidRPr="003A3B11">
        <w:rPr>
          <w:sz w:val="23"/>
          <w:szCs w:val="23"/>
        </w:rPr>
        <w:t xml:space="preserve"> Genealogy of Boaz (4:18-22)</w:t>
      </w:r>
    </w:p>
    <w:p w:rsidR="00237FC3" w:rsidRDefault="00237FC3" w:rsidP="00291382">
      <w:pPr>
        <w:pStyle w:val="BodyTextIndent3"/>
        <w:ind w:left="0" w:firstLine="0"/>
      </w:pPr>
    </w:p>
    <w:p w:rsidR="00237FC3" w:rsidRDefault="00237FC3" w:rsidP="00291382">
      <w:pPr>
        <w:pStyle w:val="BodyTextIndent3"/>
        <w:ind w:left="0" w:firstLine="0"/>
      </w:pPr>
      <w:r>
        <w:t>The purpose of Ruth is to show that when people are faithful, God is faithful. It provides a contrast to the book of Judges showing that faithfulness survived in Israel among some of the common folk. God preserved such families of faithfulness, and that is the very background from which David came.</w:t>
      </w:r>
    </w:p>
    <w:p w:rsidR="00237FC3" w:rsidRPr="00001D78" w:rsidRDefault="00237FC3" w:rsidP="00237FC3">
      <w:pPr>
        <w:pStyle w:val="BodyTextIndent3"/>
        <w:ind w:left="0" w:firstLine="0"/>
        <w:jc w:val="right"/>
        <w:rPr>
          <w:sz w:val="20"/>
          <w:szCs w:val="20"/>
        </w:rPr>
      </w:pPr>
      <w:r w:rsidRPr="00001D78">
        <w:rPr>
          <w:sz w:val="20"/>
          <w:szCs w:val="20"/>
        </w:rPr>
        <w:t>Hill &amp; Walton Survey of the Old Testament 249</w:t>
      </w:r>
    </w:p>
    <w:p w:rsidR="00291382" w:rsidRPr="008433A6" w:rsidRDefault="00291382" w:rsidP="00291382">
      <w:pPr>
        <w:pStyle w:val="BodyTextIndent3"/>
        <w:pBdr>
          <w:bottom w:val="double" w:sz="6" w:space="1" w:color="auto"/>
        </w:pBdr>
        <w:ind w:left="0" w:firstLine="0"/>
      </w:pPr>
    </w:p>
    <w:p w:rsidR="00291382" w:rsidRPr="008433A6" w:rsidRDefault="00291382" w:rsidP="00291382"/>
    <w:p w:rsidR="002B7921" w:rsidRPr="00974B7F" w:rsidRDefault="002B7921" w:rsidP="00974B7F">
      <w:pPr>
        <w:widowControl w:val="0"/>
        <w:autoSpaceDE w:val="0"/>
        <w:autoSpaceDN w:val="0"/>
        <w:adjustRightInd w:val="0"/>
        <w:jc w:val="center"/>
        <w:rPr>
          <w:rFonts w:cs="Chaucer"/>
          <w:b/>
          <w:i/>
          <w:szCs w:val="40"/>
        </w:rPr>
      </w:pPr>
      <w:proofErr w:type="spellStart"/>
      <w:r w:rsidRPr="002B7921">
        <w:rPr>
          <w:rFonts w:cs="Chaucer"/>
          <w:b/>
          <w:i/>
          <w:szCs w:val="40"/>
        </w:rPr>
        <w:t>Hesed</w:t>
      </w:r>
      <w:proofErr w:type="spellEnd"/>
    </w:p>
    <w:p w:rsidR="002B7921" w:rsidRDefault="002B7921" w:rsidP="002B7921">
      <w:pPr>
        <w:widowControl w:val="0"/>
        <w:autoSpaceDE w:val="0"/>
        <w:autoSpaceDN w:val="0"/>
        <w:adjustRightInd w:val="0"/>
        <w:rPr>
          <w:rFonts w:cs="Chaucer"/>
          <w:szCs w:val="40"/>
        </w:rPr>
      </w:pPr>
      <w:r w:rsidRPr="002B7921">
        <w:rPr>
          <w:rFonts w:cs="Chaucer"/>
          <w:szCs w:val="40"/>
        </w:rPr>
        <w:t xml:space="preserve">“Related most frequently to covenant loyalty, the Hebrew term </w:t>
      </w:r>
      <w:proofErr w:type="spellStart"/>
      <w:r w:rsidRPr="002B7921">
        <w:rPr>
          <w:rFonts w:cs="Chaucer"/>
          <w:i/>
          <w:szCs w:val="40"/>
        </w:rPr>
        <w:t>hesed</w:t>
      </w:r>
      <w:proofErr w:type="spellEnd"/>
      <w:r w:rsidRPr="002B7921">
        <w:rPr>
          <w:rFonts w:cs="Chaucer"/>
          <w:szCs w:val="40"/>
        </w:rPr>
        <w:t xml:space="preserve"> envelops all the far-reaching implications of Yahweh’s loyalty to his covenant. The King James Version frequently translates the term “mercy,” while the New American Standard Bible chooses the compound tem “lovingkindness.” These only begin to introduce all the varied ways whereby God demonstrates his covenant loyalty, and this variety is reflected in the decision by the translators of the New International Version to use an array of terms: Kindness, love loyalty, and more. Ruth is a book of </w:t>
      </w:r>
      <w:proofErr w:type="spellStart"/>
      <w:r w:rsidRPr="002B7921">
        <w:rPr>
          <w:rFonts w:cs="Chaucer"/>
          <w:i/>
          <w:szCs w:val="40"/>
        </w:rPr>
        <w:t>hesed</w:t>
      </w:r>
      <w:proofErr w:type="spellEnd"/>
      <w:r w:rsidRPr="002B7921">
        <w:rPr>
          <w:rFonts w:cs="Chaucer"/>
          <w:szCs w:val="40"/>
        </w:rPr>
        <w:t xml:space="preserve"> on both the human and divine levels. . . . All this demonstrates that</w:t>
      </w:r>
      <w:r w:rsidRPr="002B7921">
        <w:rPr>
          <w:rFonts w:cs="Chaucer"/>
          <w:i/>
          <w:szCs w:val="40"/>
        </w:rPr>
        <w:t xml:space="preserve"> </w:t>
      </w:r>
      <w:proofErr w:type="spellStart"/>
      <w:r w:rsidRPr="002B7921">
        <w:rPr>
          <w:rFonts w:cs="Chaucer"/>
          <w:i/>
          <w:szCs w:val="40"/>
        </w:rPr>
        <w:t>hesed</w:t>
      </w:r>
      <w:proofErr w:type="spellEnd"/>
      <w:r w:rsidRPr="002B7921">
        <w:rPr>
          <w:rFonts w:cs="Chaucer"/>
          <w:szCs w:val="40"/>
        </w:rPr>
        <w:t xml:space="preserve"> to one another is among the most fitting vehicles God can use to display his own </w:t>
      </w:r>
      <w:proofErr w:type="spellStart"/>
      <w:r w:rsidRPr="002B7921">
        <w:rPr>
          <w:rFonts w:cs="Chaucer"/>
          <w:i/>
          <w:szCs w:val="40"/>
        </w:rPr>
        <w:t>hesed</w:t>
      </w:r>
      <w:proofErr w:type="spellEnd"/>
      <w:r w:rsidR="00001D78">
        <w:rPr>
          <w:rFonts w:cs="Chaucer"/>
          <w:szCs w:val="40"/>
        </w:rPr>
        <w:t>.”</w:t>
      </w:r>
    </w:p>
    <w:p w:rsidR="00001D78" w:rsidRPr="00001D78" w:rsidRDefault="00001D78" w:rsidP="00001D78">
      <w:pPr>
        <w:pStyle w:val="BodyTextIndent3"/>
        <w:ind w:left="0" w:firstLine="0"/>
        <w:jc w:val="right"/>
        <w:rPr>
          <w:sz w:val="20"/>
          <w:szCs w:val="20"/>
        </w:rPr>
      </w:pPr>
      <w:r w:rsidRPr="00001D78">
        <w:rPr>
          <w:sz w:val="20"/>
          <w:szCs w:val="20"/>
        </w:rPr>
        <w:t>Hill &amp; Walton Survey of the Old Testament 2</w:t>
      </w:r>
      <w:r>
        <w:rPr>
          <w:sz w:val="20"/>
          <w:szCs w:val="20"/>
        </w:rPr>
        <w:t>53</w:t>
      </w:r>
    </w:p>
    <w:p w:rsidR="002B7921" w:rsidRPr="008433A6" w:rsidRDefault="002B7921" w:rsidP="002B7921">
      <w:pPr>
        <w:pStyle w:val="BodyTextIndent3"/>
        <w:pBdr>
          <w:bottom w:val="double" w:sz="6" w:space="1" w:color="auto"/>
        </w:pBdr>
        <w:ind w:left="0" w:firstLine="0"/>
      </w:pPr>
    </w:p>
    <w:p w:rsidR="002B7921" w:rsidRDefault="002B7921" w:rsidP="002B7921">
      <w:pPr>
        <w:widowControl w:val="0"/>
        <w:autoSpaceDE w:val="0"/>
        <w:autoSpaceDN w:val="0"/>
        <w:adjustRightInd w:val="0"/>
        <w:rPr>
          <w:rFonts w:cs="Chaucer"/>
          <w:b/>
          <w:szCs w:val="40"/>
        </w:rPr>
      </w:pPr>
    </w:p>
    <w:p w:rsidR="00291382" w:rsidRPr="00974B7F" w:rsidRDefault="00291382" w:rsidP="00974B7F">
      <w:pPr>
        <w:widowControl w:val="0"/>
        <w:autoSpaceDE w:val="0"/>
        <w:autoSpaceDN w:val="0"/>
        <w:adjustRightInd w:val="0"/>
        <w:jc w:val="center"/>
        <w:rPr>
          <w:rFonts w:cs="Chaucer"/>
          <w:b/>
          <w:szCs w:val="40"/>
        </w:rPr>
      </w:pPr>
      <w:r w:rsidRPr="008433A6">
        <w:rPr>
          <w:rFonts w:cs="Chaucer"/>
          <w:b/>
          <w:szCs w:val="40"/>
        </w:rPr>
        <w:t>Redeemer</w:t>
      </w:r>
      <w:r w:rsidR="00FE0542">
        <w:rPr>
          <w:rFonts w:cs="Chaucer"/>
          <w:b/>
          <w:szCs w:val="40"/>
        </w:rPr>
        <w:t xml:space="preserve"> </w:t>
      </w:r>
      <w:r w:rsidR="00FE0542" w:rsidRPr="006C7CFC">
        <w:rPr>
          <w:rFonts w:cs="Chaucer"/>
          <w:b/>
          <w:szCs w:val="17"/>
        </w:rPr>
        <w:t xml:space="preserve">(Hebrew </w:t>
      </w:r>
      <w:proofErr w:type="spellStart"/>
      <w:r w:rsidR="00FE0542" w:rsidRPr="006C7CFC">
        <w:rPr>
          <w:rFonts w:cs="Chaucer"/>
          <w:b/>
          <w:i/>
          <w:iCs/>
          <w:szCs w:val="17"/>
        </w:rPr>
        <w:t>go’el</w:t>
      </w:r>
      <w:proofErr w:type="spellEnd"/>
      <w:r w:rsidR="00FE0542" w:rsidRPr="006C7CFC">
        <w:rPr>
          <w:rFonts w:cs="Chaucer"/>
          <w:b/>
          <w:szCs w:val="17"/>
        </w:rPr>
        <w:t>)</w:t>
      </w:r>
    </w:p>
    <w:p w:rsidR="00291382" w:rsidRPr="008433A6" w:rsidRDefault="00291382" w:rsidP="00291382">
      <w:pPr>
        <w:widowControl w:val="0"/>
        <w:autoSpaceDE w:val="0"/>
        <w:autoSpaceDN w:val="0"/>
        <w:adjustRightInd w:val="0"/>
        <w:ind w:firstLine="360"/>
        <w:rPr>
          <w:rFonts w:cs="Chaucer"/>
          <w:szCs w:val="17"/>
        </w:rPr>
      </w:pPr>
      <w:r w:rsidRPr="008433A6">
        <w:rPr>
          <w:rFonts w:cs="Chaucer"/>
          <w:szCs w:val="71"/>
        </w:rPr>
        <w:t>T</w:t>
      </w:r>
      <w:r w:rsidRPr="008433A6">
        <w:rPr>
          <w:rFonts w:cs="Chaucer"/>
          <w:szCs w:val="17"/>
        </w:rPr>
        <w:t xml:space="preserve">he biblical idea of “redeemer” (Hebrew </w:t>
      </w:r>
      <w:proofErr w:type="spellStart"/>
      <w:r w:rsidRPr="008433A6">
        <w:rPr>
          <w:rFonts w:cs="Chaucer"/>
          <w:i/>
          <w:iCs/>
          <w:szCs w:val="17"/>
        </w:rPr>
        <w:t>go’el</w:t>
      </w:r>
      <w:proofErr w:type="spellEnd"/>
      <w:r w:rsidRPr="008433A6">
        <w:rPr>
          <w:rFonts w:cs="Chaucer"/>
          <w:szCs w:val="17"/>
        </w:rPr>
        <w:t>) is deeply rooted in family obligations and responsibilities.  An older male family member was responsible to purchase or deliver—to “redeem”—family members and property from legal obligations or drastic circumstances through some type of payment.  For example, Leviticus 25:48–49 prescribes redemption from debt slavery:  “After that he is sold [into debt slavery] he may be redeemed again; one of his brethren may redeem him: Either his uncle, or his uncle’s son, may redeem him, or any that is nigh of kin unto him of his family may redeem him.”</w:t>
      </w:r>
    </w:p>
    <w:p w:rsidR="00291382" w:rsidRPr="008433A6" w:rsidRDefault="00291382" w:rsidP="00291382">
      <w:pPr>
        <w:widowControl w:val="0"/>
        <w:autoSpaceDE w:val="0"/>
        <w:autoSpaceDN w:val="0"/>
        <w:adjustRightInd w:val="0"/>
        <w:ind w:firstLine="360"/>
        <w:rPr>
          <w:rFonts w:cs="Chaucer"/>
          <w:szCs w:val="17"/>
        </w:rPr>
      </w:pPr>
      <w:r w:rsidRPr="008433A6">
        <w:rPr>
          <w:rFonts w:cs="Chaucer"/>
          <w:szCs w:val="17"/>
        </w:rPr>
        <w:t xml:space="preserve">Additionally, a redeemer was responsible to act as a family guardian by purchasing family </w:t>
      </w:r>
      <w:r w:rsidRPr="008433A6">
        <w:rPr>
          <w:rFonts w:cs="Chaucer"/>
          <w:szCs w:val="17"/>
        </w:rPr>
        <w:lastRenderedPageBreak/>
        <w:t xml:space="preserve">land that would otherwise become lost (see Lev 25:25–29).  In the book of Ruth, Naomi identifies Boaz as “one of our next kinsmen” (Ruth 2:20; Hebrew </w:t>
      </w:r>
      <w:proofErr w:type="spellStart"/>
      <w:r w:rsidRPr="008433A6">
        <w:rPr>
          <w:rFonts w:cs="Chaucer"/>
          <w:i/>
          <w:iCs/>
          <w:szCs w:val="17"/>
        </w:rPr>
        <w:t>go’alenu</w:t>
      </w:r>
      <w:proofErr w:type="spellEnd"/>
      <w:r w:rsidRPr="008433A6">
        <w:rPr>
          <w:rFonts w:cs="Chaucer"/>
          <w:i/>
          <w:iCs/>
          <w:szCs w:val="17"/>
        </w:rPr>
        <w:t xml:space="preserve"> </w:t>
      </w:r>
      <w:proofErr w:type="spellStart"/>
      <w:r w:rsidRPr="008433A6">
        <w:rPr>
          <w:rFonts w:cs="Chaucer"/>
          <w:i/>
          <w:iCs/>
          <w:szCs w:val="17"/>
        </w:rPr>
        <w:t>hu</w:t>
      </w:r>
      <w:proofErr w:type="spellEnd"/>
      <w:r w:rsidRPr="008433A6">
        <w:rPr>
          <w:rFonts w:cs="Chaucer"/>
          <w:i/>
          <w:iCs/>
          <w:szCs w:val="17"/>
        </w:rPr>
        <w:t>’</w:t>
      </w:r>
      <w:r w:rsidRPr="008433A6">
        <w:rPr>
          <w:rFonts w:cs="Chaucer"/>
          <w:szCs w:val="17"/>
        </w:rPr>
        <w:t xml:space="preserve">), literally, “he is a redeemer of us.”  After a nearer kinsman forfeited his right, Boaz fulfilled this role by purchasing the land of </w:t>
      </w:r>
      <w:proofErr w:type="spellStart"/>
      <w:r w:rsidRPr="008433A6">
        <w:rPr>
          <w:rFonts w:cs="Chaucer"/>
          <w:szCs w:val="17"/>
        </w:rPr>
        <w:t>Elimelech</w:t>
      </w:r>
      <w:proofErr w:type="spellEnd"/>
      <w:r w:rsidRPr="008433A6">
        <w:rPr>
          <w:rFonts w:cs="Chaucer"/>
          <w:szCs w:val="17"/>
        </w:rPr>
        <w:t xml:space="preserve">.  He also assumed responsibility to “raise up the name of the dead” through a levirate marriage (Ruth 4:3–5).  This is the only biblical example in which the redemption of family property and a family line are narrated together. </w:t>
      </w:r>
    </w:p>
    <w:p w:rsidR="00291382" w:rsidRPr="008433A6" w:rsidRDefault="00291382" w:rsidP="00001D78">
      <w:pPr>
        <w:widowControl w:val="0"/>
        <w:autoSpaceDE w:val="0"/>
        <w:autoSpaceDN w:val="0"/>
        <w:adjustRightInd w:val="0"/>
        <w:ind w:firstLine="360"/>
        <w:rPr>
          <w:rFonts w:cs="Chaucer"/>
          <w:szCs w:val="17"/>
        </w:rPr>
      </w:pPr>
      <w:r w:rsidRPr="008433A6">
        <w:rPr>
          <w:rFonts w:cs="Chaucer"/>
          <w:szCs w:val="17"/>
        </w:rPr>
        <w:t xml:space="preserve">Not surprisingly, in the Old Testament, Jehovah is portrayed as the Redeemer </w:t>
      </w:r>
      <w:r w:rsidRPr="008433A6">
        <w:rPr>
          <w:rFonts w:cs="Chaucer"/>
          <w:i/>
          <w:szCs w:val="17"/>
        </w:rPr>
        <w:t>par excellence</w:t>
      </w:r>
      <w:r w:rsidRPr="008433A6">
        <w:rPr>
          <w:rFonts w:cs="Chaucer"/>
          <w:szCs w:val="17"/>
        </w:rPr>
        <w:t xml:space="preserve"> because he delivered his people from bondage:  “I the L</w:t>
      </w:r>
      <w:r w:rsidRPr="008433A6">
        <w:rPr>
          <w:rFonts w:cs="Chaucer"/>
          <w:szCs w:val="12"/>
        </w:rPr>
        <w:t xml:space="preserve">ord </w:t>
      </w:r>
      <w:r w:rsidRPr="008433A6">
        <w:rPr>
          <w:rFonts w:cs="Chaucer"/>
          <w:szCs w:val="17"/>
        </w:rPr>
        <w:t xml:space="preserve">am thy </w:t>
      </w:r>
      <w:proofErr w:type="spellStart"/>
      <w:r w:rsidRPr="008433A6">
        <w:rPr>
          <w:rFonts w:cs="Chaucer"/>
          <w:szCs w:val="17"/>
        </w:rPr>
        <w:t>Saviour</w:t>
      </w:r>
      <w:proofErr w:type="spellEnd"/>
      <w:r w:rsidRPr="008433A6">
        <w:rPr>
          <w:rFonts w:cs="Chaucer"/>
          <w:szCs w:val="17"/>
        </w:rPr>
        <w:t xml:space="preserve"> and thy Redeemer, the mighty One of Jacob” (Isa 49:26; see also, e.g., Job 19:25; Ps 19:14; Isa 44:6; 59:15–20).  Understanding that Jehovah is Jesus, the significance of Christ’s sacrificial “payment” to buy us from death and sin becomes more clear and dear.  </w:t>
      </w:r>
    </w:p>
    <w:p w:rsidR="000B6CFA" w:rsidRPr="00EB55A2" w:rsidRDefault="00291382" w:rsidP="00EB55A2">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187.</w:t>
      </w:r>
    </w:p>
    <w:p w:rsidR="003E790A" w:rsidRPr="008433A6" w:rsidRDefault="003E790A" w:rsidP="003E790A">
      <w:pPr>
        <w:pStyle w:val="BodyTextIndent3"/>
        <w:pBdr>
          <w:bottom w:val="double" w:sz="6" w:space="1" w:color="auto"/>
        </w:pBdr>
        <w:ind w:left="0" w:firstLine="0"/>
      </w:pPr>
    </w:p>
    <w:p w:rsidR="003E790A" w:rsidRDefault="003E790A" w:rsidP="003E790A"/>
    <w:p w:rsidR="000B6CFA" w:rsidRPr="00752EC6" w:rsidRDefault="003E790A" w:rsidP="003E790A">
      <w:pPr>
        <w:pStyle w:val="BodyTextIndent3"/>
        <w:pBdr>
          <w:bottom w:val="double" w:sz="6" w:space="1" w:color="auto"/>
        </w:pBdr>
        <w:ind w:left="0" w:firstLine="0"/>
        <w:jc w:val="center"/>
        <w:rPr>
          <w:b/>
        </w:rPr>
      </w:pPr>
      <w:r w:rsidRPr="00752EC6">
        <w:rPr>
          <w:b/>
        </w:rPr>
        <w:t>The Israelite House &amp; Household</w:t>
      </w:r>
    </w:p>
    <w:p w:rsidR="003E790A" w:rsidRPr="00752EC6" w:rsidRDefault="003E790A" w:rsidP="00752EC6">
      <w:pPr>
        <w:pStyle w:val="BodyTextIndent3"/>
        <w:pBdr>
          <w:bottom w:val="double" w:sz="6" w:space="1" w:color="auto"/>
        </w:pBdr>
        <w:ind w:left="0" w:firstLine="0"/>
      </w:pPr>
      <w:r>
        <w:t>The foundation of Israelite society was the family. The everyday world of the vast majority of the population was played out in its context—certainly in the many hundreds of small villages spread throughout the countryside where 80-90 percent to the population dwelled, but also in the towns and cities among the elite and the resident work force. For most, the family served as the primary economic</w:t>
      </w:r>
      <w:r w:rsidR="00752EC6">
        <w:t>, social, and religious center.</w:t>
      </w:r>
    </w:p>
    <w:p w:rsidR="003E790A" w:rsidRDefault="003E790A" w:rsidP="003E790A">
      <w:pPr>
        <w:pStyle w:val="BodyTextIndent3"/>
        <w:pBdr>
          <w:bottom w:val="double" w:sz="6" w:space="1" w:color="auto"/>
        </w:pBdr>
        <w:ind w:left="0" w:firstLine="0"/>
        <w:jc w:val="right"/>
      </w:pPr>
    </w:p>
    <w:p w:rsidR="003E790A" w:rsidRDefault="003E790A" w:rsidP="003E790A">
      <w:pPr>
        <w:pStyle w:val="BodyTextIndent3"/>
        <w:pBdr>
          <w:bottom w:val="double" w:sz="6" w:space="1" w:color="auto"/>
        </w:pBdr>
        <w:ind w:left="0" w:firstLine="0"/>
      </w:pPr>
      <w:r>
        <w:t>Storage, livestock, and workshops occupied the space on the ground floor of the pillared house. The narrower side rooms functioned as stables and shelters for the livestock. . . . Pillared houses were completely roofed. Where a second story existed, pillars supported the flat roof or ceiling. The upper floor could be reached by an exterior stone staircase or an interior wooden ladder.</w:t>
      </w:r>
    </w:p>
    <w:p w:rsidR="003E790A" w:rsidRDefault="003E790A" w:rsidP="003E790A">
      <w:pPr>
        <w:pStyle w:val="BodyTextIndent3"/>
        <w:pBdr>
          <w:bottom w:val="double" w:sz="6" w:space="1" w:color="auto"/>
        </w:pBdr>
        <w:ind w:left="0" w:firstLine="0"/>
      </w:pPr>
    </w:p>
    <w:p w:rsidR="00752EC6" w:rsidRDefault="00752EC6" w:rsidP="003E790A">
      <w:pPr>
        <w:pStyle w:val="BodyTextIndent3"/>
        <w:pBdr>
          <w:bottom w:val="double" w:sz="6" w:space="1" w:color="auto"/>
        </w:pBdr>
        <w:ind w:left="0" w:firstLine="0"/>
        <w:rPr>
          <w:i/>
        </w:rPr>
      </w:pPr>
      <w:r>
        <w:t xml:space="preserve">Ancestral household: It consists of the father, mother, and unwed children as well as the wedded sons and their wives and children, unwed parental aunts, and sometimes even unwed paternal uncles. In short, this unit is composed of blood relatives plus women who were brought into the kinship through marriage. Large as it may be, this unit tends to occupy one dwelling or a compound of dwellings built close together or often attached to one another. It is an economic as well as a social unit and is governed by the grandfather or the eldest male. The joint family normally dissolves upon the death of the grandfather. The land, which until then has been held by the grandfather, is divided among the heirs, and the male children separately, each to become the nucleus of a new </w:t>
      </w:r>
      <w:proofErr w:type="spellStart"/>
      <w:r w:rsidRPr="00752EC6">
        <w:rPr>
          <w:i/>
        </w:rPr>
        <w:t>za’ila</w:t>
      </w:r>
      <w:proofErr w:type="spellEnd"/>
      <w:r w:rsidRPr="00752EC6">
        <w:rPr>
          <w:i/>
        </w:rPr>
        <w:t>.</w:t>
      </w:r>
    </w:p>
    <w:p w:rsidR="00752EC6" w:rsidRDefault="00752EC6" w:rsidP="003E790A">
      <w:pPr>
        <w:pStyle w:val="BodyTextIndent3"/>
        <w:pBdr>
          <w:bottom w:val="double" w:sz="6" w:space="1" w:color="auto"/>
        </w:pBdr>
        <w:ind w:left="0" w:firstLine="0"/>
        <w:rPr>
          <w:i/>
        </w:rPr>
      </w:pPr>
    </w:p>
    <w:p w:rsidR="00752EC6" w:rsidRDefault="00752EC6" w:rsidP="003E790A">
      <w:pPr>
        <w:pStyle w:val="BodyTextIndent3"/>
        <w:pBdr>
          <w:bottom w:val="double" w:sz="6" w:space="1" w:color="auto"/>
        </w:pBdr>
        <w:ind w:left="0" w:firstLine="0"/>
      </w:pPr>
      <w:r>
        <w:t>It is estimated that as a result of nursing babies for as long as three years, Israelite women gave birth to an average of four children. . . . If four were born, only two children reached adulthood due to the high rate of infant and child mortality.</w:t>
      </w:r>
    </w:p>
    <w:p w:rsidR="00EB55A2" w:rsidRDefault="00EB55A2" w:rsidP="003E790A">
      <w:pPr>
        <w:pStyle w:val="BodyTextIndent3"/>
        <w:pBdr>
          <w:bottom w:val="double" w:sz="6" w:space="1" w:color="auto"/>
        </w:pBdr>
        <w:ind w:left="0" w:firstLine="0"/>
      </w:pPr>
    </w:p>
    <w:p w:rsidR="00EB55A2" w:rsidRPr="00752EC6" w:rsidRDefault="00EB55A2" w:rsidP="003E790A">
      <w:pPr>
        <w:pStyle w:val="BodyTextIndent3"/>
        <w:pBdr>
          <w:bottom w:val="double" w:sz="6" w:space="1" w:color="auto"/>
        </w:pBdr>
        <w:ind w:left="0" w:firstLine="0"/>
      </w:pPr>
      <w:r>
        <w:t xml:space="preserve">In an </w:t>
      </w:r>
      <w:proofErr w:type="spellStart"/>
      <w:r>
        <w:t>agropastoralist</w:t>
      </w:r>
      <w:proofErr w:type="spellEnd"/>
      <w:r>
        <w:t xml:space="preserve"> economy, such as ancient Israel had for most of its duration, the majority of the economic activity took place within households, great and small. Barter was the norm. </w:t>
      </w:r>
      <w:proofErr w:type="spellStart"/>
      <w:r>
        <w:t>Householding</w:t>
      </w:r>
      <w:proofErr w:type="spellEnd"/>
      <w:r>
        <w:t>, rather than market exchange was paramount. And this may have been true for most of the population before and during the monarchy, to judge f</w:t>
      </w:r>
      <w:r w:rsidR="00827221">
        <w:t>rom</w:t>
      </w:r>
      <w:r>
        <w:t xml:space="preserve"> the ubiquity, in both rural and urban settings, and the duration from Iron I to Iron II, of the pillared house with three or four room as residential unit for the biological family, even though this unit was usually a part of a </w:t>
      </w:r>
      <w:r>
        <w:lastRenderedPageBreak/>
        <w:t>larger joint family or even lineage/clan community. With production and stabling units built into every house, the household was designed to maintain its own economic survival, even if only at a minimal level.</w:t>
      </w:r>
    </w:p>
    <w:p w:rsidR="00752EC6" w:rsidRPr="003E790A" w:rsidRDefault="00752EC6" w:rsidP="00752EC6">
      <w:pPr>
        <w:pStyle w:val="BodyTextIndent3"/>
        <w:pBdr>
          <w:bottom w:val="double" w:sz="6" w:space="1" w:color="auto"/>
        </w:pBdr>
        <w:ind w:left="0" w:firstLine="0"/>
        <w:jc w:val="right"/>
        <w:rPr>
          <w:sz w:val="20"/>
          <w:szCs w:val="20"/>
        </w:rPr>
      </w:pPr>
      <w:proofErr w:type="gramStart"/>
      <w:r w:rsidRPr="003E790A">
        <w:rPr>
          <w:sz w:val="20"/>
          <w:szCs w:val="20"/>
        </w:rPr>
        <w:t>King &amp;</w:t>
      </w:r>
      <w:proofErr w:type="gramEnd"/>
      <w:r w:rsidRPr="003E790A">
        <w:rPr>
          <w:sz w:val="20"/>
          <w:szCs w:val="20"/>
        </w:rPr>
        <w:t xml:space="preserve"> Stag</w:t>
      </w:r>
      <w:r>
        <w:rPr>
          <w:sz w:val="20"/>
          <w:szCs w:val="20"/>
        </w:rPr>
        <w:t>er, Life in Biblical Israel, 21, 34, 36, 41</w:t>
      </w:r>
      <w:r w:rsidR="00827221">
        <w:rPr>
          <w:sz w:val="20"/>
          <w:szCs w:val="20"/>
        </w:rPr>
        <w:t>, 192</w:t>
      </w:r>
    </w:p>
    <w:p w:rsidR="00752EC6" w:rsidRPr="00752EC6" w:rsidRDefault="00752EC6" w:rsidP="003E790A">
      <w:pPr>
        <w:pStyle w:val="BodyTextIndent3"/>
        <w:pBdr>
          <w:bottom w:val="double" w:sz="6" w:space="1" w:color="auto"/>
        </w:pBdr>
        <w:ind w:left="0" w:firstLine="0"/>
      </w:pPr>
    </w:p>
    <w:p w:rsidR="002B7921" w:rsidRDefault="002B7921" w:rsidP="002B7921"/>
    <w:p w:rsidR="00BC6E99" w:rsidRPr="00EB55A2" w:rsidRDefault="00B907C3" w:rsidP="00BC6E99">
      <w:pPr>
        <w:jc w:val="center"/>
        <w:rPr>
          <w:b/>
        </w:rPr>
      </w:pPr>
      <w:r>
        <w:rPr>
          <w:b/>
        </w:rPr>
        <w:t>The Land</w:t>
      </w:r>
    </w:p>
    <w:p w:rsidR="00BC6E99" w:rsidRDefault="00B907C3" w:rsidP="00BC6E99">
      <w:pPr>
        <w:ind w:firstLine="360"/>
      </w:pPr>
      <w:r>
        <w:t xml:space="preserve">It has often been pointed out that in the past 4,000 years, more wars have been fought for possession of the small strip of land known as Canaan than have been fought for almost any other area of the world. In the ancient world, the reason was that this small rectangle—150 miles long and 70 miles wide, about the size of New Hampshire—lies </w:t>
      </w:r>
      <w:r w:rsidR="005C4086">
        <w:t xml:space="preserve">on the way to </w:t>
      </w:r>
      <w:r>
        <w:t xml:space="preserve">anywhere worth going in the ancient Near Eastern world. Egypt is to the southeast, Asia Minor is to the northwest, and Mesopotamia is to the northeast. Three main trade routes </w:t>
      </w:r>
      <w:proofErr w:type="spellStart"/>
      <w:r>
        <w:t>cross</w:t>
      </w:r>
      <w:proofErr w:type="spellEnd"/>
      <w:r>
        <w:t xml:space="preserve"> the country. They were used by trading caravans that carried gold, grain, spices, textiles, and other goods between Egypt and the rest of the Fertile Crescent. Control of these international highways brought wealth to the areas. But the central location was a double edged sword that brought prosperity in times of peace but perpetual invasion in times of war. Armies repeatedly crossed the land on their way to greater conquests in Egypt, Asia Minor, or Mesopotamia. This explains the succession of rulers that have held the region: the Egyptians, the Amorites, the Israelites, the Assyrians and Babylonians, the Persians, the Greek </w:t>
      </w:r>
      <w:proofErr w:type="spellStart"/>
      <w:r>
        <w:t>Ptolemies</w:t>
      </w:r>
      <w:proofErr w:type="spellEnd"/>
      <w:r>
        <w:t xml:space="preserve"> and </w:t>
      </w:r>
      <w:r w:rsidR="005C4086">
        <w:t>Seleucids, the Romans—and the list continues as we move into the medieval and modern periods.</w:t>
      </w:r>
    </w:p>
    <w:p w:rsidR="005C4086" w:rsidRDefault="005C4086" w:rsidP="00BC6E99">
      <w:pPr>
        <w:ind w:firstLine="360"/>
      </w:pPr>
      <w:r>
        <w:t xml:space="preserve">Despite its small size, the land that would become biblical Israel boast great geographical diversity. Three main geographical subdivisions run from north to south. First, on the west side of the land, a low coastal plain about twenty to thirty miles wise provides the chief highway to Egypt. This area was controlled by Egypt at the purported time of the Exodus. Second, running next to the coastal plain, also north to south, is a region of low mountains cut by small valleys—known as the central hill country. Some of the valleys that cut through the mountains are extremely fertile, such as the Plain of Megiddo, which joins with the Valley of </w:t>
      </w:r>
      <w:proofErr w:type="spellStart"/>
      <w:r>
        <w:t>Jezreel</w:t>
      </w:r>
      <w:proofErr w:type="spellEnd"/>
      <w:r>
        <w:t xml:space="preserve">, as east-west strip that is the most fertile part of the country and the site of many bloody battles in Israel’s history. Finally next to the central hill country, and also running north to south, is the Great Jordan Rift Valley, which extends the full length of the country. The Jordan River runs through this valley, rising in the </w:t>
      </w:r>
      <w:proofErr w:type="spellStart"/>
      <w:r>
        <w:t>Kinneret</w:t>
      </w:r>
      <w:proofErr w:type="spellEnd"/>
      <w:r>
        <w:t xml:space="preserve"> or Sea of Galilee in the north and flowing south sixty-five miles to the Dead Sea. At the norther extreme of the Rift Valley is the snow-covered Mt. Hermon, the highest point in Israel at 10,000 feet. The mountains of the central hill country are between 4,000 and 10, 000 feet above sea level (Jerusalem is 2,500 feet above sea level), but the rift valley a few miles to the east is dramatically lower. The Sea of Galilee is 700 feet below sea level, and the Dead Sea is nearly 1,300 feet below sea level, the lowest point on the Earth’s land surface. In the north, the river is surrounded on both sides by lush vegetation. However, there is no life in and around the Dead Sea, as the water is 25 percent salt and minerals. It is a desolate area, and tradition identifies this region as the site of Sodom and Gomorrah. The area around the Dead Sea is </w:t>
      </w:r>
      <w:r w:rsidR="003A1B1F">
        <w:t>semi desert</w:t>
      </w:r>
      <w:r>
        <w:t>. Between Jerusalem and the Dead Sea is the wilderness of Judah.</w:t>
      </w:r>
    </w:p>
    <w:p w:rsidR="005C4086" w:rsidRDefault="005C4086" w:rsidP="00BC6E99">
      <w:pPr>
        <w:ind w:firstLine="360"/>
      </w:pPr>
      <w:r>
        <w:t>In short, this relatively tiny area contains radically diverse geographical regions, and this fact held important implications for Israel’s history. Unity was difficult. Being somewhat isolated, the inhabitants of each region developed a distinctive economic and cultural character—the small settled farmer, the seminomadic shepherd, the city dweller, merchant, and trader who enjoyed broader cultural contacts</w:t>
      </w:r>
    </w:p>
    <w:p w:rsidR="003A1B1F" w:rsidRDefault="003A1B1F" w:rsidP="003A1B1F">
      <w:pPr>
        <w:jc w:val="right"/>
        <w:rPr>
          <w:sz w:val="20"/>
          <w:szCs w:val="20"/>
        </w:rPr>
      </w:pPr>
      <w:r>
        <w:rPr>
          <w:sz w:val="20"/>
          <w:szCs w:val="20"/>
        </w:rPr>
        <w:t>Christine Hayes, Introduction to the Bible 188-89.</w:t>
      </w:r>
    </w:p>
    <w:p w:rsidR="00EB55A2" w:rsidRPr="008433A6" w:rsidRDefault="00EB55A2" w:rsidP="00EB55A2">
      <w:pPr>
        <w:pStyle w:val="BodyTextIndent3"/>
        <w:pBdr>
          <w:bottom w:val="double" w:sz="6" w:space="1" w:color="auto"/>
        </w:pBdr>
        <w:ind w:left="0" w:firstLine="0"/>
      </w:pPr>
    </w:p>
    <w:p w:rsidR="00BC6E99" w:rsidRDefault="00BC6E99" w:rsidP="00EB55A2"/>
    <w:p w:rsidR="002B7921" w:rsidRPr="003A3B11" w:rsidRDefault="002B7921" w:rsidP="003A3B11">
      <w:pPr>
        <w:jc w:val="center"/>
        <w:rPr>
          <w:b/>
        </w:rPr>
      </w:pPr>
      <w:r w:rsidRPr="002B7921">
        <w:rPr>
          <w:b/>
        </w:rPr>
        <w:t>A Basic Outline of the (whole) Book of Samuel</w:t>
      </w:r>
    </w:p>
    <w:p w:rsidR="002B7921" w:rsidRDefault="002B7921" w:rsidP="002B7921">
      <w:r>
        <w:t xml:space="preserve">I.  Birth and “rule” of Samuel </w:t>
      </w:r>
      <w:r>
        <w:tab/>
      </w:r>
      <w:r>
        <w:tab/>
      </w:r>
      <w:r>
        <w:tab/>
        <w:t>(1 Sam. 1-9)</w:t>
      </w:r>
    </w:p>
    <w:p w:rsidR="002B7921" w:rsidRDefault="002B7921" w:rsidP="002B7921"/>
    <w:p w:rsidR="002B7921" w:rsidRDefault="002B7921" w:rsidP="002B7921">
      <w:r>
        <w:t>II</w:t>
      </w:r>
      <w:proofErr w:type="gramStart"/>
      <w:r>
        <w:t>.  Saul’s</w:t>
      </w:r>
      <w:proofErr w:type="gramEnd"/>
      <w:r>
        <w:t xml:space="preserve"> reign, failure, and rejection by God  </w:t>
      </w:r>
      <w:r>
        <w:tab/>
        <w:t>(1 Sam. 10-15)</w:t>
      </w:r>
    </w:p>
    <w:p w:rsidR="002B7921" w:rsidRDefault="002B7921" w:rsidP="002B7921"/>
    <w:p w:rsidR="002B7921" w:rsidRDefault="002B7921" w:rsidP="002B7921">
      <w:r>
        <w:t>III</w:t>
      </w:r>
      <w:proofErr w:type="gramStart"/>
      <w:r>
        <w:t>.  David</w:t>
      </w:r>
      <w:proofErr w:type="gramEnd"/>
      <w:r>
        <w:t xml:space="preserve"> in Saul’s court</w:t>
      </w:r>
      <w:r>
        <w:tab/>
      </w:r>
      <w:r>
        <w:tab/>
      </w:r>
      <w:r>
        <w:tab/>
      </w:r>
      <w:r>
        <w:tab/>
        <w:t>(1 Sam. 16-20)</w:t>
      </w:r>
    </w:p>
    <w:p w:rsidR="002B7921" w:rsidRDefault="002B7921" w:rsidP="002B7921"/>
    <w:p w:rsidR="002B7921" w:rsidRDefault="002B7921" w:rsidP="002B7921">
      <w:r>
        <w:t>IV</w:t>
      </w:r>
      <w:proofErr w:type="gramStart"/>
      <w:r>
        <w:t>.  David</w:t>
      </w:r>
      <w:proofErr w:type="gramEnd"/>
      <w:r>
        <w:t xml:space="preserve"> as a political fugitive; death of Saul </w:t>
      </w:r>
      <w:r>
        <w:tab/>
        <w:t>(1 Sam. 21-31)</w:t>
      </w:r>
    </w:p>
    <w:p w:rsidR="002B7921" w:rsidRDefault="002B7921" w:rsidP="002B7921"/>
    <w:p w:rsidR="002B7921" w:rsidRDefault="002B7921" w:rsidP="002B7921">
      <w:r>
        <w:t xml:space="preserve">V.  David as king over Judah, then all Israel; his kindness to Saul’s family </w:t>
      </w:r>
      <w:r>
        <w:tab/>
        <w:t>(2 Sam. 1-8)</w:t>
      </w:r>
    </w:p>
    <w:p w:rsidR="002B7921" w:rsidRDefault="002B7921" w:rsidP="002B7921"/>
    <w:p w:rsidR="002B7921" w:rsidRDefault="002B7921" w:rsidP="002B7921">
      <w:r>
        <w:t>VI</w:t>
      </w:r>
      <w:proofErr w:type="gramStart"/>
      <w:r>
        <w:t>.  David’s</w:t>
      </w:r>
      <w:proofErr w:type="gramEnd"/>
      <w:r>
        <w:t xml:space="preserve"> failure and its dreadful consequences </w:t>
      </w:r>
      <w:r>
        <w:tab/>
        <w:t>(2 Sam. 9-20)</w:t>
      </w:r>
    </w:p>
    <w:p w:rsidR="002B7921" w:rsidRDefault="002B7921" w:rsidP="002B7921"/>
    <w:p w:rsidR="002B7921" w:rsidRDefault="002B7921" w:rsidP="002B7921">
      <w:r>
        <w:t>VII</w:t>
      </w:r>
      <w:proofErr w:type="gramStart"/>
      <w:r>
        <w:t>.  David’s</w:t>
      </w:r>
      <w:proofErr w:type="gramEnd"/>
      <w:r>
        <w:t xml:space="preserve"> final years and Solomon’s accession </w:t>
      </w:r>
      <w:r>
        <w:tab/>
        <w:t>(2 Sam. 21 — 1 Kings 2)</w:t>
      </w:r>
    </w:p>
    <w:p w:rsidR="002B7921" w:rsidRDefault="002B7921" w:rsidP="002B7921"/>
    <w:p w:rsidR="002B7921" w:rsidRDefault="002B7921" w:rsidP="002B7921">
      <w:r>
        <w:t>The purpose of the books of Samuel is to tell the story of the establishment of the kingship covenant with David. God’s plan was to have an earthly king who would give a good example of what God’s kingship was like. David is shown to be the legitimate choice of God, but also is shown to have been at time an obstacle rather than an instrument of God’s rule</w:t>
      </w:r>
    </w:p>
    <w:p w:rsidR="002B7921" w:rsidRDefault="002B7921" w:rsidP="002B7921">
      <w:r>
        <w:t>Hill &amp; Walton, Survey of the Old Testament, 257</w:t>
      </w:r>
    </w:p>
    <w:p w:rsidR="002B7921" w:rsidRDefault="002B7921" w:rsidP="002B7921"/>
    <w:p w:rsidR="002B7921" w:rsidRDefault="002B7921" w:rsidP="002B7921">
      <w:r>
        <w:t>Major Themes: Ark of the Covenant, Kingship, Davidic Covenant, Assessment of Saul, Assessment of David</w:t>
      </w:r>
    </w:p>
    <w:p w:rsidR="002B7921" w:rsidRDefault="002B7921" w:rsidP="002B7921"/>
    <w:p w:rsidR="002B7921" w:rsidRDefault="002B7921" w:rsidP="002B7921">
      <w:r>
        <w:t xml:space="preserve">1&amp;2 Samuel originally constituted a single book in the Hebrew Bible. The division into two separate books probably occurred when the book of Samuel was translated into Greek, which necessitated putting the book on two scrolls instead of one. The death of Saul became the artificial dividing point. From a historical and literary perspective the books are best read as a single work. </w:t>
      </w:r>
    </w:p>
    <w:p w:rsidR="002B7921" w:rsidRDefault="002B7921" w:rsidP="002B7921"/>
    <w:p w:rsidR="000B6CFA" w:rsidRDefault="002B7921" w:rsidP="002B7921">
      <w:r>
        <w:t xml:space="preserve">“The authors of 1 and 2 Samuel is unknown—it is not Samuel because he dies in 1 Samuel 15. The apparent presence of several distinct narratives—each of which seem to have an independent unity—suggests that the final version of the book is the product of a redactor who combined and edited material from several earlier sources. For example, David first appears in 1 Samuel 16 as a friend of Saul, and yet in 1 Samuel 17, in the story of David and Goliath, Saul does not seem to know David.” </w:t>
      </w:r>
    </w:p>
    <w:p w:rsidR="00001D78" w:rsidRPr="00D044ED" w:rsidRDefault="00001D78" w:rsidP="00001D78">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w:t>
      </w:r>
      <w:r>
        <w:rPr>
          <w:sz w:val="20"/>
        </w:rPr>
        <w:t>19</w:t>
      </w:r>
      <w:r>
        <w:rPr>
          <w:sz w:val="20"/>
        </w:rPr>
        <w:t>1.</w:t>
      </w:r>
    </w:p>
    <w:p w:rsidR="002B7921" w:rsidRPr="008433A6" w:rsidRDefault="002B7921" w:rsidP="002B7921">
      <w:pPr>
        <w:pStyle w:val="BodyTextIndent3"/>
        <w:pBdr>
          <w:bottom w:val="double" w:sz="6" w:space="1" w:color="auto"/>
        </w:pBdr>
        <w:ind w:left="0" w:firstLine="0"/>
      </w:pPr>
    </w:p>
    <w:p w:rsidR="00C055B2" w:rsidRDefault="00C055B2" w:rsidP="00C055B2"/>
    <w:p w:rsidR="00C055B2" w:rsidRPr="00974B7F" w:rsidRDefault="00C055B2" w:rsidP="00974B7F">
      <w:pPr>
        <w:jc w:val="center"/>
        <w:rPr>
          <w:b/>
        </w:rPr>
      </w:pPr>
      <w:r w:rsidRPr="00C055B2">
        <w:rPr>
          <w:b/>
        </w:rPr>
        <w:t>Books of Samuel – Basic Traits</w:t>
      </w:r>
    </w:p>
    <w:p w:rsidR="00C055B2" w:rsidRDefault="00C055B2" w:rsidP="003A1B1F">
      <w:pPr>
        <w:ind w:firstLine="360"/>
      </w:pPr>
      <w:r>
        <w:t>Superlatives abound whenever discussion turns to the literary qualities of the books of Samuel: “It would be hard to find anywhere a greater narrative”; the Samuel narratives are composed in a “prose which, for combined simplicity and distinction, has remained unmatched in the literature of the world.”</w:t>
      </w:r>
    </w:p>
    <w:p w:rsidR="00C055B2" w:rsidRDefault="00C055B2" w:rsidP="003A1B1F">
      <w:pPr>
        <w:ind w:firstLine="360"/>
      </w:pPr>
      <w:r>
        <w:lastRenderedPageBreak/>
        <w:t>Three basic traits of the Samuel narratives may be highlighted as contributing to their literary sophistication and appeal.  The first is the scenic character of the narration.  The books of Samuel tend to communicate more by “showing” than by explicit “telling.”  Much as a dramatic stage play calls on its viewers to exercise intellectual and moral judgment in making sense of the words and actions of the dramatis personae, so scenic narration keeps explicit commentary to a minimum and calls on the reader’s powers of discernment and evaluation.  The second trait of the Samuel narrative is its succinct character, by which it accomplishes its goals with a minimum expenditure of verbiage and with a consequent heightening of the importance and profile of the (fewer) words that are chosen.  The third is the subtle character of the narration which, though constrained by a necessary (if sparse) framework of explicit commentary, conveys much of its message and perspective implicitly through a variety of story-telling techniques.</w:t>
      </w:r>
    </w:p>
    <w:p w:rsidR="00C055B2" w:rsidRDefault="00C055B2" w:rsidP="003A1B1F">
      <w:pPr>
        <w:ind w:firstLine="360"/>
      </w:pPr>
      <w:r>
        <w:t>Scenic, succinct, subtle … is it any wonder that the literature of 1 and 2 Samuel has for generations proved fascinating to a broad spectrum of Bible readers, from the simplest to the most expert.</w:t>
      </w:r>
    </w:p>
    <w:p w:rsidR="002B7921" w:rsidRPr="00974B7F" w:rsidRDefault="00C055B2" w:rsidP="00974B7F">
      <w:pPr>
        <w:jc w:val="right"/>
        <w:rPr>
          <w:sz w:val="20"/>
          <w:szCs w:val="20"/>
        </w:rPr>
      </w:pPr>
      <w:r w:rsidRPr="00974B7F">
        <w:rPr>
          <w:sz w:val="20"/>
          <w:szCs w:val="20"/>
        </w:rPr>
        <w:t>V. Philips Long, “First and Second Samuel” in A Complete Literary Guide to the Bible, 165-166.</w:t>
      </w:r>
    </w:p>
    <w:p w:rsidR="00C055B2" w:rsidRPr="008433A6" w:rsidRDefault="00C055B2" w:rsidP="00C055B2">
      <w:pPr>
        <w:pStyle w:val="BodyTextIndent3"/>
        <w:pBdr>
          <w:bottom w:val="double" w:sz="6" w:space="1" w:color="auto"/>
        </w:pBdr>
        <w:ind w:left="0" w:firstLine="0"/>
      </w:pPr>
    </w:p>
    <w:p w:rsidR="00C055B2" w:rsidRPr="008433A6" w:rsidRDefault="00C055B2" w:rsidP="00C055B2"/>
    <w:p w:rsidR="000B6CFA" w:rsidRDefault="000B6CFA" w:rsidP="00974B7F">
      <w:pPr>
        <w:widowControl w:val="0"/>
        <w:autoSpaceDE w:val="0"/>
        <w:autoSpaceDN w:val="0"/>
        <w:adjustRightInd w:val="0"/>
        <w:jc w:val="center"/>
        <w:rPr>
          <w:rFonts w:cs="Chaucer"/>
          <w:b/>
          <w:szCs w:val="40"/>
        </w:rPr>
      </w:pPr>
      <w:r>
        <w:rPr>
          <w:rFonts w:cs="Chaucer"/>
          <w:b/>
          <w:szCs w:val="40"/>
        </w:rPr>
        <w:t>Hannah’s Prayer</w:t>
      </w:r>
    </w:p>
    <w:p w:rsidR="000B6CFA" w:rsidRDefault="00315E39" w:rsidP="000B6CFA">
      <w:pPr>
        <w:widowControl w:val="0"/>
        <w:autoSpaceDE w:val="0"/>
        <w:autoSpaceDN w:val="0"/>
        <w:adjustRightInd w:val="0"/>
        <w:rPr>
          <w:rFonts w:cs="Chaucer"/>
          <w:szCs w:val="40"/>
        </w:rPr>
      </w:pPr>
      <w:r w:rsidRPr="00315E39">
        <w:rPr>
          <w:rFonts w:cs="Chaucer"/>
          <w:szCs w:val="40"/>
        </w:rPr>
        <w:t xml:space="preserve">In the first chapter with the story of Hannah, there is a sense of God at work behind the scenes to overturn the expected possessors of power and to give to the poor and weak the blessings that they seek. </w:t>
      </w:r>
      <w:r w:rsidR="000B6CFA">
        <w:rPr>
          <w:rFonts w:cs="Chaucer"/>
          <w:szCs w:val="40"/>
        </w:rPr>
        <w:t>Hannah’s prayer in 1 Samuel 2:1-10 anticipates everything that will follow: the joy of the blessed, the holiness and sovereignty of God, divine protection for those who wait on God, the humbling of the proud and lifting of the poor and needy from the ash heap, and the confession that God judges and choose whom he will for kingship.</w:t>
      </w:r>
    </w:p>
    <w:p w:rsidR="000B6CFA" w:rsidRPr="00974B7F" w:rsidRDefault="000B6CFA" w:rsidP="000B6CFA">
      <w:pPr>
        <w:widowControl w:val="0"/>
        <w:autoSpaceDE w:val="0"/>
        <w:autoSpaceDN w:val="0"/>
        <w:adjustRightInd w:val="0"/>
        <w:jc w:val="right"/>
        <w:rPr>
          <w:rFonts w:cs="Chaucer"/>
          <w:sz w:val="20"/>
          <w:szCs w:val="20"/>
        </w:rPr>
      </w:pPr>
      <w:r w:rsidRPr="00974B7F">
        <w:rPr>
          <w:rFonts w:cs="Chaucer"/>
          <w:sz w:val="20"/>
          <w:szCs w:val="20"/>
        </w:rPr>
        <w:t xml:space="preserve">Richard S Hess, </w:t>
      </w:r>
      <w:proofErr w:type="gramStart"/>
      <w:r w:rsidRPr="00974B7F">
        <w:rPr>
          <w:rFonts w:cs="Chaucer"/>
          <w:i/>
          <w:sz w:val="20"/>
          <w:szCs w:val="20"/>
        </w:rPr>
        <w:t>The</w:t>
      </w:r>
      <w:proofErr w:type="gramEnd"/>
      <w:r w:rsidRPr="00974B7F">
        <w:rPr>
          <w:rFonts w:cs="Chaucer"/>
          <w:i/>
          <w:sz w:val="20"/>
          <w:szCs w:val="20"/>
        </w:rPr>
        <w:t xml:space="preserve"> Old Testament</w:t>
      </w:r>
      <w:r w:rsidRPr="00974B7F">
        <w:rPr>
          <w:rFonts w:cs="Chaucer"/>
          <w:sz w:val="20"/>
          <w:szCs w:val="20"/>
        </w:rPr>
        <w:t>, 270</w:t>
      </w:r>
    </w:p>
    <w:p w:rsidR="003A1B1F" w:rsidRPr="008433A6" w:rsidRDefault="003A1B1F" w:rsidP="003A1B1F">
      <w:pPr>
        <w:pStyle w:val="BodyTextIndent3"/>
        <w:pBdr>
          <w:bottom w:val="double" w:sz="6" w:space="1" w:color="auto"/>
        </w:pBdr>
        <w:ind w:left="0" w:firstLine="0"/>
      </w:pPr>
    </w:p>
    <w:p w:rsidR="003A1B1F" w:rsidRPr="008433A6" w:rsidRDefault="003A1B1F" w:rsidP="003A1B1F"/>
    <w:p w:rsidR="000B6CFA" w:rsidRDefault="003A1B1F" w:rsidP="003A1B1F">
      <w:pPr>
        <w:jc w:val="center"/>
        <w:rPr>
          <w:b/>
        </w:rPr>
      </w:pPr>
      <w:r w:rsidRPr="003A1B1F">
        <w:rPr>
          <w:b/>
        </w:rPr>
        <w:t>Crises at the beginning of the book of Samuel</w:t>
      </w:r>
    </w:p>
    <w:p w:rsidR="003A1B1F" w:rsidRDefault="003A1B1F" w:rsidP="003A1B1F">
      <w:r>
        <w:t>First Samuel opens with the story of Samuel’s birth to Hannah and her dedication of her son to the service of Yahweh at Shiloh. Shiloh appears to have been the most important shrine prior to the monarchy, and the prophet Jeremiah will refer to it as the place where Yahweh first caused his name to dwell (</w:t>
      </w:r>
      <w:proofErr w:type="spellStart"/>
      <w:r>
        <w:t>Jer</w:t>
      </w:r>
      <w:proofErr w:type="spellEnd"/>
      <w:r>
        <w:t xml:space="preserve"> 7:12). Following the birth of Samuel, a series of crises are revealed. The first is a religious crisis. The priest Eli, also described as a judge but perhaps only in order to fit him into the prevailing pattern of leadership is said to be aging, and his sons are corrupt. As a result, the word of Yahweh is said to be rare in those days (1 Sam 3:1). The second crisis regards the question of political succession. First Sam 2:12-17 reports that Eli’s two sons are clearly unworthy and dissolute: They dishonor the sacrifices and, according to one reading, lie with women at the door of the shrine. Yahweh says he will cut off the power of Eli’s house, his two sons will die in one day, and Yahweh will raise up a faithful priest—but in the meantime, no leader is apparent</w:t>
      </w:r>
      <w:r w:rsidR="003A3B11">
        <w:t>. The third crisis is military. In Judges 4-7, the Israelites suffer a defeat at the hands of the Philistines, Eli’s two sons are indeed killed, the ark of Yahweh is captured, and the news of these events causes Eli’s sudden demise.</w:t>
      </w:r>
    </w:p>
    <w:p w:rsidR="003A3B11" w:rsidRDefault="003A3B11" w:rsidP="003A3B11">
      <w:pPr>
        <w:jc w:val="right"/>
        <w:rPr>
          <w:sz w:val="20"/>
          <w:szCs w:val="20"/>
        </w:rPr>
      </w:pPr>
      <w:r>
        <w:rPr>
          <w:sz w:val="20"/>
          <w:szCs w:val="20"/>
        </w:rPr>
        <w:t xml:space="preserve">Christine Hayes, Introduction to the Bible </w:t>
      </w:r>
      <w:r>
        <w:rPr>
          <w:sz w:val="20"/>
          <w:szCs w:val="20"/>
        </w:rPr>
        <w:t>203-204</w:t>
      </w:r>
    </w:p>
    <w:p w:rsidR="003A3B11" w:rsidRPr="003A1B1F" w:rsidRDefault="003A3B11" w:rsidP="003A1B1F"/>
    <w:p w:rsidR="003A1B1F" w:rsidRDefault="003A1B1F"/>
    <w:sectPr w:rsidR="003A1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haucer">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76072"/>
    <w:multiLevelType w:val="hybridMultilevel"/>
    <w:tmpl w:val="8B80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9F4"/>
    <w:rsid w:val="00001D78"/>
    <w:rsid w:val="000B6CFA"/>
    <w:rsid w:val="00180BF7"/>
    <w:rsid w:val="00237FC3"/>
    <w:rsid w:val="00286F07"/>
    <w:rsid w:val="00291382"/>
    <w:rsid w:val="002B7921"/>
    <w:rsid w:val="00315E39"/>
    <w:rsid w:val="003A1B1F"/>
    <w:rsid w:val="003A3B11"/>
    <w:rsid w:val="003E790A"/>
    <w:rsid w:val="004609F4"/>
    <w:rsid w:val="005C4086"/>
    <w:rsid w:val="006C7CFC"/>
    <w:rsid w:val="00752EC6"/>
    <w:rsid w:val="007969C9"/>
    <w:rsid w:val="00827221"/>
    <w:rsid w:val="00974B7F"/>
    <w:rsid w:val="00A243A4"/>
    <w:rsid w:val="00B907C3"/>
    <w:rsid w:val="00BB557E"/>
    <w:rsid w:val="00BC418E"/>
    <w:rsid w:val="00BC6E99"/>
    <w:rsid w:val="00C055B2"/>
    <w:rsid w:val="00EB55A2"/>
    <w:rsid w:val="00F86B1C"/>
    <w:rsid w:val="00FC2A20"/>
    <w:rsid w:val="00FE0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5B08"/>
  <w15:chartTrackingRefBased/>
  <w15:docId w15:val="{1914F8EA-2C36-429B-93C2-C73B8C19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9F4"/>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291382"/>
    <w:pPr>
      <w:ind w:left="720" w:hanging="360"/>
    </w:pPr>
  </w:style>
  <w:style w:type="character" w:customStyle="1" w:styleId="BodyTextIndent3Char">
    <w:name w:val="Body Text Indent 3 Char"/>
    <w:basedOn w:val="DefaultParagraphFont"/>
    <w:link w:val="BodyTextIndent3"/>
    <w:rsid w:val="00291382"/>
    <w:rPr>
      <w:rFonts w:ascii="Times New Roman" w:eastAsia="Times" w:hAnsi="Times New Roman" w:cs="Times New Roman"/>
      <w:sz w:val="24"/>
      <w:szCs w:val="24"/>
    </w:rPr>
  </w:style>
  <w:style w:type="paragraph" w:styleId="NoSpacing">
    <w:name w:val="No Spacing"/>
    <w:uiPriority w:val="1"/>
    <w:qFormat/>
    <w:rsid w:val="00001D78"/>
    <w:pPr>
      <w:spacing w:after="0" w:line="240" w:lineRule="auto"/>
    </w:pPr>
  </w:style>
  <w:style w:type="character" w:styleId="Hyperlink">
    <w:name w:val="Hyperlink"/>
    <w:basedOn w:val="DefaultParagraphFont"/>
    <w:uiPriority w:val="99"/>
    <w:unhideWhenUsed/>
    <w:rsid w:val="00001D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0h1eoBeR4J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2312</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12</cp:revision>
  <dcterms:created xsi:type="dcterms:W3CDTF">2021-05-12T21:51:00Z</dcterms:created>
  <dcterms:modified xsi:type="dcterms:W3CDTF">2021-07-19T16:55:00Z</dcterms:modified>
</cp:coreProperties>
</file>