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CF" w:rsidRDefault="000D58CF">
      <w:pPr>
        <w:pStyle w:val="Default"/>
      </w:pPr>
    </w:p>
    <w:p w:rsidR="000D58CF" w:rsidRDefault="00B83D35">
      <w:pPr>
        <w:pStyle w:val="Default"/>
      </w:pPr>
      <w:r>
        <w:t xml:space="preserve"> </w:t>
      </w:r>
    </w:p>
    <w:p w:rsidR="000D58CF" w:rsidRDefault="000D58CF">
      <w:pPr>
        <w:pStyle w:val="Default"/>
        <w:spacing w:after="97"/>
        <w:rPr>
          <w:sz w:val="22"/>
          <w:szCs w:val="22"/>
        </w:rPr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pStyle w:val="Default"/>
        <w:spacing w:after="97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19685</wp:posOffset>
            </wp:positionV>
            <wp:extent cx="6029325" cy="514350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Stating the problem statement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1,2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Describing the overall picture of </w:t>
            </w:r>
            <w:proofErr w:type="gramStart"/>
            <w:r>
              <w:rPr>
                <w:sz w:val="24"/>
              </w:rPr>
              <w:t>the  COMPANY</w:t>
            </w:r>
            <w:proofErr w:type="gramEnd"/>
            <w:r>
              <w:rPr>
                <w:sz w:val="24"/>
              </w:rPr>
              <w:t xml:space="preserve"> MANAGEMENT SYSTEM and at the end to bring out a report about it.</w:t>
            </w:r>
          </w:p>
        </w:tc>
      </w:tr>
    </w:tbl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SRS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0D58CF" w:rsidRDefault="00B83D35">
            <w:pPr>
              <w:jc w:val="both"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managerial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4,5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below</w:t>
            </w:r>
            <w:proofErr w:type="gramEnd"/>
            <w:r>
              <w:rPr>
                <w:sz w:val="24"/>
              </w:rPr>
              <w:t xml:space="preserve"> this work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Work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 xml:space="preserve"> for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7"/>
              <w:jc w:val="both"/>
            </w:pPr>
            <w:r>
              <w:rPr>
                <w:sz w:val="24"/>
              </w:rPr>
              <w:t xml:space="preserve">Specifing the reporting mechanisms and control procedures necessary to measure report and control the COMPANY MANAGEMENT SYSTEM. </w:t>
            </w: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z w:val="24"/>
              </w:rPr>
              <w:t xml:space="preserve">, schedule, budget </w:t>
            </w:r>
            <w:r>
              <w:rPr>
                <w:sz w:val="24"/>
              </w:rPr>
              <w:lastRenderedPageBreak/>
              <w:t>and recourses, the quality of work processes and work products.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Risk Management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rPr>
          <w:trHeight w:val="403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Specifing the risk management plan </w:t>
            </w:r>
            <w:proofErr w:type="gramStart"/>
            <w:r>
              <w:rPr>
                <w:sz w:val="24"/>
              </w:rPr>
              <w:t>of  COMPANY</w:t>
            </w:r>
            <w:proofErr w:type="gramEnd"/>
            <w:r>
              <w:rPr>
                <w:sz w:val="24"/>
              </w:rPr>
              <w:t xml:space="preserve"> MANAGEMENT SYSTEM for identifying and analyzing risk factors.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Project Closeout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15,13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14,18,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0D58CF" w:rsidRDefault="00722132">
            <w:pPr>
              <w:jc w:val="both"/>
            </w:pPr>
            <w:r>
              <w:rPr>
                <w:sz w:val="24"/>
              </w:rPr>
              <w:t>C</w:t>
            </w:r>
            <w:r w:rsidR="00B83D35">
              <w:rPr>
                <w:sz w:val="24"/>
              </w:rPr>
              <w:t>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technical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tools</w:t>
            </w:r>
            <w:proofErr w:type="gramEnd"/>
            <w:r>
              <w:rPr>
                <w:sz w:val="24"/>
              </w:rPr>
              <w:t xml:space="preserve"> and techniques.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supporting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duration</w:t>
            </w:r>
            <w:proofErr w:type="gramEnd"/>
            <w:r>
              <w:rPr>
                <w:sz w:val="24"/>
              </w:rPr>
              <w:t xml:space="preserve"> of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SPMP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Reviewing the SPMP documentation.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4"/>
            </w:pPr>
            <w:r>
              <w:rPr>
                <w:sz w:val="24"/>
              </w:rPr>
              <w:t xml:space="preserve">Updating the SPMP documentation to do the necessary </w:t>
            </w:r>
            <w:proofErr w:type="gramStart"/>
            <w:r>
              <w:rPr>
                <w:sz w:val="24"/>
              </w:rPr>
              <w:t xml:space="preserve">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COMPANY </w:t>
            </w:r>
            <w:r>
              <w:rPr>
                <w:sz w:val="24"/>
              </w:rPr>
              <w:lastRenderedPageBreak/>
              <w:t xml:space="preserve">MANAGEMENT SYSTEM </w:t>
            </w:r>
            <w:bookmarkEnd w:id="0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server</w:t>
            </w:r>
            <w:proofErr w:type="gramEnd"/>
            <w:r>
              <w:rPr>
                <w:sz w:val="24"/>
              </w:rPr>
              <w:t xml:space="preserve">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main interface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Designing html interface for main page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server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z w:val="24"/>
              </w:rPr>
              <w:t xml:space="preserve"> lies below this work activity.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manager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login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1" w:name="__DdeLink__25508_3570936936"/>
            <w:r>
              <w:rPr>
                <w:sz w:val="24"/>
              </w:rPr>
              <w:t>Design of the</w:t>
            </w:r>
            <w:bookmarkEnd w:id="1"/>
            <w:r>
              <w:rPr>
                <w:sz w:val="24"/>
              </w:rPr>
              <w:t xml:space="preserve"> add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</w:t>
            </w:r>
            <w:r>
              <w:t>dit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edit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add comment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1.1.8/1.2.3/1.3.4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</w:t>
            </w:r>
            <w:proofErr w:type="gramStart"/>
            <w:r>
              <w:rPr>
                <w:sz w:val="24"/>
              </w:rPr>
              <w:t xml:space="preserve">the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</w:t>
            </w:r>
            <w:proofErr w:type="gramStart"/>
            <w:r>
              <w:rPr>
                <w:sz w:val="24"/>
              </w:rPr>
              <w:t xml:space="preserve">for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1.2.2/1.3.2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 COMPANY MANAGEMENT SYSTEM risk factors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Training for .net mvc language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Training lecture for .net mvc framework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admin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Işık,Gülfem Işık,Ebru Sarı,Anıl Kuşçu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lastRenderedPageBreak/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Coding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2" w:name="OLE_LINK7"/>
            <w:bookmarkStart w:id="3" w:name="OLE_LINK8"/>
            <w:r>
              <w:t>A</w:t>
            </w:r>
            <w:bookmarkEnd w:id="2"/>
            <w:bookmarkEnd w:id="3"/>
            <w:r>
              <w:t xml:space="preserve">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implement</w:t>
            </w:r>
            <w:proofErr w:type="gramEnd"/>
            <w:r>
              <w:rPr>
                <w:sz w:val="24"/>
              </w:rPr>
              <w:t xml:space="preserve"> corrective action when actual progress does not conform to planned progress.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76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1.0.0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77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1.0.1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78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Training for testing processes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1.1.0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Giving training Gülfem </w:t>
            </w:r>
            <w:proofErr w:type="gramStart"/>
            <w:r>
              <w:rPr>
                <w:sz w:val="24"/>
              </w:rPr>
              <w:t>Işık,Ebru</w:t>
            </w:r>
            <w:proofErr w:type="gramEnd"/>
            <w:r>
              <w:rPr>
                <w:sz w:val="24"/>
              </w:rPr>
              <w:t xml:space="preserve"> Sarı&amp;Anıl Kuşçu by lectures and</w:t>
            </w:r>
          </w:p>
          <w:p w:rsidR="00722132" w:rsidRDefault="00722132" w:rsidP="001734C8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discussions</w:t>
            </w:r>
            <w:proofErr w:type="gramEnd"/>
            <w:r>
              <w:rPr>
                <w:sz w:val="24"/>
              </w:rPr>
              <w:t xml:space="preserve"> to make a background about testing techniques.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79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t>testing</w:t>
            </w:r>
            <w:proofErr w:type="gramEnd"/>
            <w:r>
              <w:t xml:space="preserve"> of the login for admin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20/11/2018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27/11/2018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722132" w:rsidRDefault="00722132" w:rsidP="00722132">
      <w:pPr>
        <w:spacing w:after="0" w:line="240" w:lineRule="auto"/>
        <w:rPr>
          <w:rFonts w:ascii="Calibri" w:hAnsi="Calibri" w:cs="Calibri"/>
          <w:color w:val="000000"/>
        </w:rPr>
      </w:pPr>
    </w:p>
    <w:p w:rsidR="00722132" w:rsidRDefault="00722132" w:rsidP="00722132">
      <w:pPr>
        <w:pStyle w:val="GvdeMetni"/>
      </w:pPr>
    </w:p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80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add article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81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delete article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82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Approve Article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83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Testing of the delete user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84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approve comments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85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1.1.7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86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article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1.1.8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87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88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reader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1.2.1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89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1.2.2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722132" w:rsidRDefault="00722132" w:rsidP="00722132">
      <w:pPr>
        <w:pStyle w:val="GvdeMetni"/>
      </w:pPr>
    </w:p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90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reader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1.2.3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91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writer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92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1.3.1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93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1.3.2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-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94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1.3.3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722132" w:rsidRDefault="00722132" w:rsidP="00722132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95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writer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1.3.4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722132" w:rsidRDefault="00722132" w:rsidP="00722132">
      <w:pPr>
        <w:pStyle w:val="GvdeMetni"/>
      </w:pPr>
    </w:p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96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theuser part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722132" w:rsidRDefault="00722132" w:rsidP="00722132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97</w:t>
            </w:r>
          </w:p>
        </w:tc>
      </w:tr>
      <w:tr w:rsidR="00722132" w:rsidTr="001734C8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readers for users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1.4.1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7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02/11/2018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>08/11/2018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722132" w:rsidRDefault="00722132" w:rsidP="00722132">
      <w:pPr>
        <w:tabs>
          <w:tab w:val="left" w:pos="1755"/>
        </w:tabs>
        <w:rPr>
          <w:rFonts w:ascii="Courier" w:eastAsia="SimSun" w:hAnsi="Courier" w:cs="Courier" w:hint="eastAsia"/>
          <w:color w:val="000000"/>
          <w:sz w:val="20"/>
          <w:szCs w:val="20"/>
          <w:lang w:eastAsia="tr-TR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 w:rsidR="00722132" w:rsidRDefault="00722132" w:rsidP="00722132">
      <w:pPr>
        <w:tabs>
          <w:tab w:val="left" w:pos="1755"/>
        </w:tabs>
        <w:rPr>
          <w:sz w:val="24"/>
        </w:rPr>
      </w:pPr>
    </w:p>
    <w:p w:rsidR="00722132" w:rsidRDefault="00722132" w:rsidP="00722132">
      <w:pPr>
        <w:tabs>
          <w:tab w:val="left" w:pos="1755"/>
        </w:tabs>
        <w:rPr>
          <w:sz w:val="24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87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90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89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Specifying ,analyzing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1.6.1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Giving training to Anıl Kuşçu &amp; Gülfem </w:t>
            </w: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Işık,Ebru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Sarı by lectures and discussions to make a background about IEEE Std. 1063- 1987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1.6.2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17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722132" w:rsidTr="001734C8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132" w:rsidRDefault="00722132" w:rsidP="001734C8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722132" w:rsidRDefault="00722132" w:rsidP="00722132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tabs>
          <w:tab w:val="left" w:pos="1755"/>
        </w:tabs>
        <w:rPr>
          <w:sz w:val="24"/>
        </w:rPr>
        <w:sectPr w:rsidR="000D58CF">
          <w:footerReference w:type="default" r:id="rId9"/>
          <w:pgSz w:w="11906" w:h="16838"/>
          <w:pgMar w:top="1400" w:right="600" w:bottom="880" w:left="600" w:header="0" w:footer="0" w:gutter="0"/>
          <w:cols w:space="708"/>
          <w:formProt w:val="0"/>
          <w:docGrid w:linePitch="100"/>
        </w:sectPr>
      </w:pPr>
      <w:bookmarkStart w:id="4" w:name="_GoBack"/>
      <w:bookmarkEnd w:id="4"/>
    </w:p>
    <w:p w:rsidR="000D58CF" w:rsidRDefault="00B83D35">
      <w:pPr>
        <w:rPr>
          <w:rFonts w:ascii="Calibri" w:hAnsi="Calibri" w:cs="Calibri"/>
          <w:color w:val="000000"/>
        </w:rPr>
      </w:pPr>
      <w:r>
        <w:lastRenderedPageBreak/>
        <w:br w:type="page"/>
      </w:r>
    </w:p>
    <w:p w:rsidR="000D58CF" w:rsidRDefault="000D58CF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X="-206" w:tblpY="1"/>
        <w:tblW w:w="1011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29"/>
        <w:gridCol w:w="9189"/>
      </w:tblGrid>
      <w:tr w:rsidR="0024352C" w:rsidTr="0024352C"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352C" w:rsidRDefault="0024352C" w:rsidP="002435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Default="0024352C" w:rsidP="0024352C"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Company Management System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Training for .net mvc language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0D58CF" w:rsidRDefault="00B83D35">
      <w:pPr>
        <w:pStyle w:val="Default"/>
      </w:pPr>
      <w:r>
        <w:rPr>
          <w:sz w:val="22"/>
          <w:szCs w:val="22"/>
        </w:rPr>
        <w:br/>
      </w: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 w:rsidP="00CF4191">
      <w:pPr>
        <w:pStyle w:val="ResimYazs"/>
        <w:keepNext/>
      </w:pPr>
      <w:r>
        <w:rPr>
          <w:rFonts w:ascii="Times New Roman" w:eastAsia="SimSun" w:hAnsi="Times New Roman" w:cs="Times New Roman"/>
          <w:b/>
          <w:bCs/>
          <w:lang w:eastAsia="tr-TR"/>
        </w:rPr>
        <w:lastRenderedPageBreak/>
        <w:t>Resource Allocation</w:t>
      </w: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24352C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1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All of the members</w:t>
            </w:r>
          </w:p>
        </w:tc>
      </w:tr>
    </w:tbl>
    <w:p w:rsidR="00CF4191" w:rsidRDefault="00CF4191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792275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2</w:t>
            </w:r>
          </w:p>
        </w:tc>
      </w:tr>
      <w:tr w:rsidR="0024352C" w:rsidTr="0024352C">
        <w:trPr>
          <w:trHeight w:val="312"/>
        </w:trPr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24352C">
            <w:pPr>
              <w:pStyle w:val="Default"/>
            </w:pPr>
            <w:r>
              <w:t>Anıl KUŞÇU</w:t>
            </w:r>
            <w:r w:rsidR="0024352C">
              <w:t>,</w:t>
            </w:r>
            <w:r w:rsidR="00544D78">
              <w:t xml:space="preserve"> </w:t>
            </w: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3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24352C">
              <w:t>, Gülfem IŞIK</w:t>
            </w:r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E971D3" w:rsidTr="00792275"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4</w:t>
            </w:r>
          </w:p>
        </w:tc>
      </w:tr>
      <w:tr w:rsidR="00E971D3" w:rsidTr="00792275">
        <w:trPr>
          <w:trHeight w:val="312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E971D3">
            <w:pPr>
              <w:pStyle w:val="Default"/>
            </w:pPr>
            <w:r>
              <w:t>Gulfem IŞIK, 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866067">
            <w:pPr>
              <w:pStyle w:val="ResimYazs"/>
              <w:keepNext/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5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All of the member</w:t>
            </w:r>
          </w:p>
        </w:tc>
      </w:tr>
    </w:tbl>
    <w:p w:rsidR="00866067" w:rsidRDefault="00866067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866067" w:rsidP="00792275">
            <w:pPr>
              <w:pStyle w:val="Default"/>
            </w:pPr>
            <w:r>
              <w:t>6</w:t>
            </w:r>
          </w:p>
        </w:tc>
      </w:tr>
      <w:tr w:rsidR="0024352C" w:rsidTr="00792275">
        <w:trPr>
          <w:trHeight w:val="312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managerial process plans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7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866067" w:rsidRDefault="00866067">
      <w:pPr>
        <w:pStyle w:val="Default"/>
      </w:pPr>
    </w:p>
    <w:p w:rsidR="00866067" w:rsidRDefault="00866067" w:rsidP="00866067">
      <w:pPr>
        <w:pStyle w:val="ResimYazs"/>
        <w:keepNext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Work plan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8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866067" w:rsidRDefault="00866067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Control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9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Risk management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10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Anıl KUŞÇU</w:t>
            </w:r>
            <w:r w:rsidR="005B1694">
              <w:t>, Gülfem IŞIK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11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5B1694">
              <w:t>, Anıl K</w:t>
            </w:r>
            <w:r>
              <w:t>UŞÇU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12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Gülfem I</w:t>
            </w:r>
            <w:r w:rsidR="00313BFD">
              <w:t xml:space="preserve">ŞIK,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13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14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E971D3" w:rsidRDefault="00E971D3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15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E971D3" w:rsidRDefault="00E971D3" w:rsidP="00E971D3">
      <w:pPr>
        <w:pStyle w:val="ResimYazs"/>
        <w:keepNext/>
      </w:pPr>
    </w:p>
    <w:p w:rsidR="00E971D3" w:rsidRDefault="00E971D3" w:rsidP="00E971D3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637DA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E971D3" w:rsidTr="007637DA"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16</w:t>
            </w:r>
          </w:p>
        </w:tc>
      </w:tr>
      <w:tr w:rsidR="00E971D3" w:rsidTr="007637DA">
        <w:trPr>
          <w:trHeight w:val="312"/>
        </w:trPr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E971D3" w:rsidRDefault="00E971D3" w:rsidP="00792275">
      <w:pPr>
        <w:pStyle w:val="ResimYazs"/>
        <w:keepNext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313BFD">
            <w:pPr>
              <w:pStyle w:val="Default"/>
              <w:tabs>
                <w:tab w:val="left" w:pos="1607"/>
              </w:tabs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Ebru Sarı,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 xml:space="preserve">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Company Management System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792275" w:rsidTr="00792275">
        <w:trPr>
          <w:trHeight w:val="290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544D78" w:rsidRDefault="00544D78">
      <w:pPr>
        <w:pStyle w:val="Default"/>
      </w:pPr>
    </w:p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Design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Training for .net mvc language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51</w:t>
            </w:r>
          </w:p>
        </w:tc>
      </w:tr>
      <w:tr w:rsidR="006A6846" w:rsidTr="00792275">
        <w:trPr>
          <w:trHeight w:val="312"/>
        </w:trPr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53</w:t>
            </w:r>
          </w:p>
        </w:tc>
      </w:tr>
      <w:tr w:rsidR="007637DA" w:rsidTr="00792275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employee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p w:rsidR="00370298" w:rsidRDefault="00370298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lastRenderedPageBreak/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5B1694" w:rsidRDefault="005B1694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delete project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87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5B1694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employee page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employee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main interface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96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server software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97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p w:rsidR="005B1694" w:rsidRDefault="005B1694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 xml:space="preserve">, </w:t>
            </w:r>
            <w:r w:rsidR="003F71A8"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 xml:space="preserve">, </w:t>
            </w:r>
            <w:r w:rsidR="003F71A8">
              <w:t xml:space="preserve">Ebru </w:t>
            </w:r>
            <w:proofErr w:type="gramStart"/>
            <w:r w:rsidR="003F71A8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107</w:t>
            </w:r>
          </w:p>
        </w:tc>
      </w:tr>
      <w:tr w:rsidR="003F71A8" w:rsidTr="007637DA">
        <w:trPr>
          <w:trHeight w:val="312"/>
        </w:trPr>
        <w:tc>
          <w:tcPr>
            <w:tcW w:w="5036" w:type="dxa"/>
          </w:tcPr>
          <w:p w:rsidR="003F71A8" w:rsidRDefault="003F71A8" w:rsidP="003F71A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3F71A8" w:rsidRDefault="003F71A8" w:rsidP="003F71A8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sectPr w:rsidR="00043E5D">
      <w:pgSz w:w="12240" w:h="16340"/>
      <w:pgMar w:top="1234" w:right="1115" w:bottom="658" w:left="1193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E23" w:rsidRDefault="007F4E23" w:rsidP="001F03A6">
      <w:pPr>
        <w:spacing w:after="0" w:line="240" w:lineRule="auto"/>
      </w:pPr>
      <w:r>
        <w:separator/>
      </w:r>
    </w:p>
  </w:endnote>
  <w:endnote w:type="continuationSeparator" w:id="0">
    <w:p w:rsidR="007F4E23" w:rsidRDefault="007F4E23" w:rsidP="001F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188296"/>
      <w:docPartObj>
        <w:docPartGallery w:val="Page Numbers (Bottom of Page)"/>
        <w:docPartUnique/>
      </w:docPartObj>
    </w:sdtPr>
    <w:sdtContent>
      <w:p w:rsidR="001F03A6" w:rsidRDefault="001F03A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1F03A6" w:rsidRDefault="001F03A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E23" w:rsidRDefault="007F4E23" w:rsidP="001F03A6">
      <w:pPr>
        <w:spacing w:after="0" w:line="240" w:lineRule="auto"/>
      </w:pPr>
      <w:r>
        <w:separator/>
      </w:r>
    </w:p>
  </w:footnote>
  <w:footnote w:type="continuationSeparator" w:id="0">
    <w:p w:rsidR="007F4E23" w:rsidRDefault="007F4E23" w:rsidP="001F0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434"/>
    <w:multiLevelType w:val="hybridMultilevel"/>
    <w:tmpl w:val="4B36A952"/>
    <w:lvl w:ilvl="0" w:tplc="C160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8CF"/>
    <w:rsid w:val="00043E5D"/>
    <w:rsid w:val="000D58CF"/>
    <w:rsid w:val="001F03A6"/>
    <w:rsid w:val="0024352C"/>
    <w:rsid w:val="00276BAB"/>
    <w:rsid w:val="00313BFD"/>
    <w:rsid w:val="00370298"/>
    <w:rsid w:val="003F71A8"/>
    <w:rsid w:val="00544D78"/>
    <w:rsid w:val="005B1694"/>
    <w:rsid w:val="006A6846"/>
    <w:rsid w:val="00722132"/>
    <w:rsid w:val="007637DA"/>
    <w:rsid w:val="00792275"/>
    <w:rsid w:val="007F4E23"/>
    <w:rsid w:val="00866067"/>
    <w:rsid w:val="00B83D35"/>
    <w:rsid w:val="00CF4191"/>
    <w:rsid w:val="00E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E4"/>
  <w15:docId w15:val="{24A0C03C-892A-4A96-BE6A-23723635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51C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qFormat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">
    <w:name w:val="table"/>
    <w:basedOn w:val="Normal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rsid w:val="002435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03A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63</Pages>
  <Words>6770</Words>
  <Characters>38590</Characters>
  <Application>Microsoft Office Word</Application>
  <DocSecurity>0</DocSecurity>
  <Lines>321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dc:description/>
  <cp:lastModifiedBy>IŞIK</cp:lastModifiedBy>
  <cp:revision>32</cp:revision>
  <dcterms:created xsi:type="dcterms:W3CDTF">2018-11-05T18:56:00Z</dcterms:created>
  <dcterms:modified xsi:type="dcterms:W3CDTF">2018-11-26T20:43:00Z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