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jc w:val="center"/>
      </w:pPr>
      <w:r>
        <w:rPr>
          <w:rFonts w:ascii="Arial" w:cs="Arial" w:eastAsia="Arial" w:hAnsi="Arial"/>
          <w:b/>
          <w:bCs/>
          <w:color w:val="2D6A4F"/>
          <w:sz w:val="56"/>
          <w:szCs w:val="56"/>
        </w:rPr>
        <w:t xml:space="preserve">EquiScreen</w:t>
      </w:r>
    </w:p>
    <w:p>
      <w:pPr>
        <w:spacing w:after="80"/>
        <w:jc w:val="center"/>
      </w:pPr>
      <w:r>
        <w:rPr>
          <w:rFonts w:ascii="Arial" w:cs="Arial" w:eastAsia="Arial" w:hAnsi="Arial"/>
          <w:i/>
          <w:iCs/>
          <w:color w:val="52796F"/>
          <w:sz w:val="28"/>
          <w:szCs w:val="28"/>
        </w:rPr>
        <w:t xml:space="preserve">A Fairness Auditing Pipeline for Hypertension Prediction</w:t>
      </w:r>
    </w:p>
    <w:p>
      <w:pPr>
        <w:spacing w:after="200"/>
        <w:jc w:val="center"/>
      </w:pPr>
      <w:r>
        <w:rPr>
          <w:rFonts w:ascii="Arial" w:cs="Arial" w:eastAsia="Arial" w:hAnsi="Arial"/>
          <w:color w:val="666666"/>
          <w:sz w:val="24"/>
          <w:szCs w:val="24"/>
        </w:rPr>
        <w:t xml:space="preserve">Technical Report</w:t>
      </w:r>
    </w:p>
    <w:p>
      <w:pPr>
        <w:pBdr>
          <w:bottom w:val="single" w:color="CAD9D3" w:sz="4"/>
        </w:pBdr>
        <w:spacing w:after="200"/>
      </w:pPr>
    </w:p>
    <w:p>
      <w:pPr>
        <w:spacing w:after="60"/>
        <w:jc w:val="center"/>
      </w:pPr>
      <w:r>
        <w:rPr>
          <w:rFonts w:ascii="Arial" w:cs="Arial" w:eastAsia="Arial" w:hAnsi="Arial"/>
          <w:b/>
          <w:bCs/>
          <w:color w:val="000000"/>
          <w:sz w:val="24"/>
          <w:szCs w:val="24"/>
        </w:rPr>
        <w:t xml:space="preserve">Syafiq Khan</w:t>
      </w:r>
    </w:p>
    <w:p>
      <w:pPr>
        <w:spacing w:after="60"/>
        <w:jc w:val="center"/>
      </w:pPr>
      <w:r>
        <w:rPr>
          <w:rFonts w:ascii="Times New Roman" w:cs="Times New Roman" w:eastAsia="Times New Roman" w:hAnsi="Times New Roman"/>
          <w:color w:val="666666"/>
          <w:sz w:val="22"/>
          <w:szCs w:val="22"/>
        </w:rPr>
        <w:t xml:space="preserve">Biomedical Engineering | National University of Singapore</w:t>
      </w:r>
    </w:p>
    <w:p>
      <w:pPr>
        <w:spacing w:after="200"/>
        <w:jc w:val="center"/>
      </w:pPr>
      <w:r>
        <w:rPr>
          <w:rFonts w:ascii="Times New Roman" w:cs="Times New Roman" w:eastAsia="Times New Roman" w:hAnsi="Times New Roman"/>
          <w:color w:val="666666"/>
          <w:sz w:val="22"/>
          <w:szCs w:val="22"/>
        </w:rPr>
        <w:t xml:space="preserve">March 2026</w:t>
      </w:r>
    </w:p>
    <w:p>
      <w:pPr>
        <w:spacing w:after="80"/>
      </w:pPr>
    </w:p>
    <w:p>
      <w:pPr>
        <w:spacing w:after="80"/>
      </w:pPr>
    </w:p>
    <w:p>
      <w:pPr>
        <w:spacing w:after="40"/>
        <w:jc w:val="center"/>
      </w:pPr>
      <w:r>
        <w:rPr>
          <w:rFonts w:ascii="Times New Roman" w:cs="Times New Roman" w:eastAsia="Times New Roman" w:hAnsi="Times New Roman"/>
          <w:color w:val="888888"/>
          <w:sz w:val="20"/>
          <w:szCs w:val="20"/>
        </w:rPr>
        <w:t xml:space="preserve">Dataset: NHANES 2017–2018 (CDC)</w:t>
      </w:r>
    </w:p>
    <w:p>
      <w:pPr>
        <w:spacing w:after="40"/>
        <w:jc w:val="center"/>
      </w:pPr>
      <w:r>
        <w:rPr>
          <w:rFonts w:ascii="Times New Roman" w:cs="Times New Roman" w:eastAsia="Times New Roman" w:hAnsi="Times New Roman"/>
          <w:color w:val="888888"/>
          <w:sz w:val="20"/>
          <w:szCs w:val="20"/>
        </w:rPr>
        <w:t xml:space="preserve">Prediction Target: Hypertension Classification</w:t>
      </w:r>
    </w:p>
    <w:p>
      <w:pPr>
        <w:spacing w:after="40"/>
        <w:jc w:val="center"/>
      </w:pPr>
      <w:r>
        <w:rPr>
          <w:rFonts w:ascii="Times New Roman" w:cs="Times New Roman" w:eastAsia="Times New Roman" w:hAnsi="Times New Roman"/>
          <w:color w:val="888888"/>
          <w:sz w:val="20"/>
          <w:szCs w:val="20"/>
        </w:rPr>
        <w:t xml:space="preserve">Fairness Frameworks: Equalized Odds · Calibration · Disparate Impact Ratio</w:t>
      </w:r>
    </w:p>
    <w:p>
      <w:pPr>
        <w:spacing w:after="0"/>
      </w:pPr>
      <w:r>
        <w:br w:type="page"/>
      </w:r>
    </w:p>
    <w:p>
      <w:pPr>
        <w:pStyle w:val="Heading1"/>
        <w:pBdr>
          <w:bottom w:val="single" w:color="2D6A4F" w:sz="6" w:space="1"/>
        </w:pBdr>
        <w:spacing w:before="360" w:after="160"/>
      </w:pPr>
      <w:r>
        <w:rPr>
          <w:rFonts w:ascii="Arial" w:cs="Arial" w:eastAsia="Arial" w:hAnsi="Arial"/>
          <w:b/>
          <w:bCs/>
          <w:color w:val="2D6A4F"/>
          <w:sz w:val="32"/>
          <w:szCs w:val="32"/>
        </w:rPr>
        <w:t xml:space="preserve">Abstract</w:t>
      </w:r>
    </w:p>
    <w:p>
      <w:pPr>
        <w:spacing w:after="120" w:line="276" w:lineRule="auto"/>
      </w:pPr>
      <w:r>
        <w:rPr>
          <w:rFonts w:ascii="Times New Roman" w:cs="Times New Roman" w:eastAsia="Times New Roman" w:hAnsi="Times New Roman"/>
          <w:sz w:val="22"/>
          <w:szCs w:val="22"/>
        </w:rPr>
        <w:t xml:space="preserve">EquiScreen is a 12-week end-to-end fairness auditing pipeline applied to a hypertension prediction model trained on the NHANES 2017–2018 dataset. Starting from raw clinical survey data, this project builds a complete machine learning pipeline — data cleaning, feature engineering, model development, fairness auditing, and bias mitigation — with a focus on identifying and quantifying demographic disparities in model performance.</w:t>
      </w:r>
    </w:p>
    <w:p>
      <w:pPr>
        <w:spacing w:after="120" w:line="276" w:lineRule="auto"/>
      </w:pPr>
      <w:r>
        <w:rPr>
          <w:rFonts w:ascii="Times New Roman" w:cs="Times New Roman" w:eastAsia="Times New Roman" w:hAnsi="Times New Roman"/>
          <w:sz w:val="22"/>
          <w:szCs w:val="22"/>
        </w:rPr>
        <w:t xml:space="preserve">The final XGBoost model achieves an AUC of 0.7284 and recall of 0.8731 on the held-out test set. Fairness auditing across five demographic axes reveals that Non-Hispanic Black patients experience the most significant performance gap (AUC 0.680, TPR 0.735 vs overall TPR 0.873), failing three of four fairness criteria. Patients aged 75 and above also show notably weaker discrimination (AUC 0.619). Three bias mitigation strategies are tested: SMOTE oversampling, class weight adjustment, and post-hoc threshold modification. Class weight adjustment (scale_pos_weight = 8.0) is selected as the optimal strategy, improving Non-Hispanic Black TPR to 0.765 while maintaining overall AUC of 0.7196.</w:t>
      </w:r>
    </w:p>
    <w:p>
      <w:pPr>
        <w:spacing w:after="120" w:line="276" w:lineRule="auto"/>
      </w:pPr>
      <w:r>
        <w:rPr>
          <w:rFonts w:ascii="Times New Roman" w:cs="Times New Roman" w:eastAsia="Times New Roman" w:hAnsi="Times New Roman"/>
          <w:sz w:val="22"/>
          <w:szCs w:val="22"/>
        </w:rPr>
        <w:t xml:space="preserve">A concluding Singapore transferability analysis examines whether these bias patterns would manifest in Singapore's healthcare context, comparing US NHANES demographic categories with Singapore's CMIO population model. The analysis finds that while direct US-to-Singapore transfer is inappropriate, the methodological framework of EquiScreen is directly applicable, and several analogous bias risks exist — particularly for elderly Malay patients and lower socioeconomic groups.</w:t>
      </w:r>
    </w:p>
    <w:p>
      <w:pPr>
        <w:pBdr>
          <w:left w:val="single" w:color="2D6A4F" w:sz="12" w:space="4"/>
        </w:pBdr>
        <w:shd w:fill="F0F4F1" w:val="clear"/>
        <w:spacing w:before="120" w:after="120"/>
        <w:ind w:left="360" w:right="360"/>
      </w:pPr>
      <w:r>
        <w:rPr>
          <w:rFonts w:ascii="Arial" w:cs="Arial" w:eastAsia="Arial" w:hAnsi="Arial"/>
          <w:b/>
          <w:bCs/>
          <w:color w:val="2D6A4F"/>
          <w:sz w:val="22"/>
          <w:szCs w:val="22"/>
        </w:rPr>
        <w:t xml:space="preserve">Key Finding: </w:t>
      </w:r>
      <w:r>
        <w:rPr>
          <w:rFonts w:ascii="Times New Roman" w:cs="Times New Roman" w:eastAsia="Times New Roman" w:hAnsi="Times New Roman"/>
          <w:color w:val="000000"/>
          <w:sz w:val="22"/>
          <w:szCs w:val="22"/>
        </w:rPr>
        <w:t xml:space="preserve">No single mitigation strategy fully eliminated the demographic performance gap. All three strategies improved Non-Hispanic Black TPR but introduced tradeoffs in overall accuracy or false positive rates, illustrating the fundamental tension between fairness and performance in clinical ML.</w:t>
      </w:r>
    </w:p>
    <w:p>
      <w:pPr>
        <w:spacing w:after="0"/>
      </w:pPr>
      <w:r>
        <w:br w:type="page"/>
      </w:r>
    </w:p>
    <w:p>
      <w:pPr>
        <w:pStyle w:val="Heading1"/>
        <w:pBdr>
          <w:bottom w:val="single" w:color="2D6A4F" w:sz="6" w:space="1"/>
        </w:pBdr>
        <w:spacing w:before="360" w:after="160"/>
      </w:pPr>
      <w:r>
        <w:rPr>
          <w:rFonts w:ascii="Arial" w:cs="Arial" w:eastAsia="Arial" w:hAnsi="Arial"/>
          <w:b/>
          <w:bCs/>
          <w:color w:val="2D6A4F"/>
          <w:sz w:val="32"/>
          <w:szCs w:val="32"/>
        </w:rPr>
        <w:t xml:space="preserve">1. Introduction</w:t>
      </w:r>
    </w:p>
    <w:p>
      <w:pPr>
        <w:pStyle w:val="Heading2"/>
        <w:spacing w:before="240" w:after="80"/>
      </w:pPr>
      <w:r>
        <w:rPr>
          <w:rFonts w:ascii="Arial" w:cs="Arial" w:eastAsia="Arial" w:hAnsi="Arial"/>
          <w:b/>
          <w:bCs/>
          <w:color w:val="2D6A4F"/>
          <w:sz w:val="26"/>
          <w:szCs w:val="26"/>
        </w:rPr>
        <w:t xml:space="preserve">1.1 Motivation</w:t>
      </w:r>
    </w:p>
    <w:p>
      <w:pPr>
        <w:spacing w:after="120" w:line="276" w:lineRule="auto"/>
      </w:pPr>
      <w:r>
        <w:rPr>
          <w:rFonts w:ascii="Times New Roman" w:cs="Times New Roman" w:eastAsia="Times New Roman" w:hAnsi="Times New Roman"/>
          <w:sz w:val="22"/>
          <w:szCs w:val="22"/>
        </w:rPr>
        <w:t xml:space="preserve">Machine learning models are increasingly embedded in clinical decision-making, from risk stratification tools to diagnostic support systems. These models are typically evaluated using aggregate performance metrics — overall AUC-ROC, accuracy, F1-score — which can mask significant disparities in how well the model performs across different patient subgroups. Research consistently shows that only approximately 5% of published clinical machine learning studies assess performance across demographic subgroups.</w:t>
      </w:r>
    </w:p>
    <w:p>
      <w:pPr>
        <w:spacing w:after="120" w:line="276" w:lineRule="auto"/>
      </w:pPr>
      <w:r>
        <w:rPr>
          <w:rFonts w:ascii="Times New Roman" w:cs="Times New Roman" w:eastAsia="Times New Roman" w:hAnsi="Times New Roman"/>
          <w:sz w:val="22"/>
          <w:szCs w:val="22"/>
        </w:rPr>
        <w:t xml:space="preserve">This gap has real consequences. A hypertension prediction model that systematically underperforms for a specific ethnic group may fail to flag high-risk patients from that group, contributing to under-diagnosis and delayed treatment — compounding pre-existing healthcare inequities rather than correcting them. Conversely, a model that over-predicts risk for a group may trigger unnecessary interventions.</w:t>
      </w:r>
    </w:p>
    <w:p>
      <w:pPr>
        <w:spacing w:after="120" w:line="276" w:lineRule="auto"/>
      </w:pPr>
      <w:r>
        <w:rPr>
          <w:rFonts w:ascii="Times New Roman" w:cs="Times New Roman" w:eastAsia="Times New Roman" w:hAnsi="Times New Roman"/>
          <w:sz w:val="22"/>
          <w:szCs w:val="22"/>
        </w:rPr>
        <w:t xml:space="preserve">EquiScreen was designed to address this gap directly: to build a complete fairness auditing pipeline that goes beyond aggregate metrics and systematically examines where and why a clinical ML model fails.</w:t>
      </w:r>
    </w:p>
    <w:p>
      <w:pPr>
        <w:pStyle w:val="Heading2"/>
        <w:spacing w:before="240" w:after="80"/>
      </w:pPr>
      <w:r>
        <w:rPr>
          <w:rFonts w:ascii="Arial" w:cs="Arial" w:eastAsia="Arial" w:hAnsi="Arial"/>
          <w:b/>
          <w:bCs/>
          <w:color w:val="2D6A4F"/>
          <w:sz w:val="26"/>
          <w:szCs w:val="26"/>
        </w:rPr>
        <w:t xml:space="preserve">1.2 Project Scope and Objectives</w:t>
      </w:r>
    </w:p>
    <w:p>
      <w:pPr>
        <w:spacing w:after="120" w:line="276" w:lineRule="auto"/>
      </w:pPr>
      <w:r>
        <w:rPr>
          <w:rFonts w:ascii="Times New Roman" w:cs="Times New Roman" w:eastAsia="Times New Roman" w:hAnsi="Times New Roman"/>
          <w:sz w:val="22"/>
          <w:szCs w:val="22"/>
        </w:rPr>
        <w:t xml:space="preserve">This project has four primary objectives:</w:t>
      </w:r>
    </w:p>
    <w:p>
      <w:pPr>
        <w:pStyle w:val="ListParagraph"/>
        <w:numPr>
          <w:ilvl w:val="0"/>
          <w:numId w:val="2"/>
        </w:numPr>
        <w:spacing w:after="80"/>
      </w:pPr>
      <w:r>
        <w:rPr>
          <w:rFonts w:ascii="Times New Roman" w:cs="Times New Roman" w:eastAsia="Times New Roman" w:hAnsi="Times New Roman"/>
          <w:sz w:val="22"/>
          <w:szCs w:val="22"/>
        </w:rPr>
        <w:t xml:space="preserve">Build a functional end-to-end machine learning pipeline for hypertension prediction using NHANES 2017–2018 data</w:t>
      </w:r>
    </w:p>
    <w:p>
      <w:pPr>
        <w:pStyle w:val="ListParagraph"/>
        <w:numPr>
          <w:ilvl w:val="0"/>
          <w:numId w:val="2"/>
        </w:numPr>
        <w:spacing w:after="80"/>
      </w:pPr>
      <w:r>
        <w:rPr>
          <w:rFonts w:ascii="Times New Roman" w:cs="Times New Roman" w:eastAsia="Times New Roman" w:hAnsi="Times New Roman"/>
          <w:sz w:val="22"/>
          <w:szCs w:val="22"/>
        </w:rPr>
        <w:t xml:space="preserve">Conduct a systematic fairness audit across demographic subgroups using established fairness frameworks</w:t>
      </w:r>
    </w:p>
    <w:p>
      <w:pPr>
        <w:pStyle w:val="ListParagraph"/>
        <w:numPr>
          <w:ilvl w:val="0"/>
          <w:numId w:val="2"/>
        </w:numPr>
        <w:spacing w:after="80"/>
      </w:pPr>
      <w:r>
        <w:rPr>
          <w:rFonts w:ascii="Times New Roman" w:cs="Times New Roman" w:eastAsia="Times New Roman" w:hAnsi="Times New Roman"/>
          <w:sz w:val="22"/>
          <w:szCs w:val="22"/>
        </w:rPr>
        <w:t xml:space="preserve">Test bias mitigation strategies and document the fairness-accuracy tradeoff</w:t>
      </w:r>
    </w:p>
    <w:p>
      <w:pPr>
        <w:pStyle w:val="ListParagraph"/>
        <w:numPr>
          <w:ilvl w:val="0"/>
          <w:numId w:val="2"/>
        </w:numPr>
        <w:spacing w:after="80"/>
      </w:pPr>
      <w:r>
        <w:rPr>
          <w:rFonts w:ascii="Times New Roman" w:cs="Times New Roman" w:eastAsia="Times New Roman" w:hAnsi="Times New Roman"/>
          <w:sz w:val="22"/>
          <w:szCs w:val="22"/>
        </w:rPr>
        <w:t xml:space="preserve">Analyse the transferability of these findings to a Singapore healthcare context</w:t>
      </w:r>
    </w:p>
    <w:p>
      <w:pPr>
        <w:spacing w:after="80"/>
      </w:pPr>
    </w:p>
    <w:p>
      <w:pPr>
        <w:spacing w:after="120" w:line="276" w:lineRule="auto"/>
      </w:pPr>
      <w:r>
        <w:rPr>
          <w:rFonts w:ascii="Times New Roman" w:cs="Times New Roman" w:eastAsia="Times New Roman" w:hAnsi="Times New Roman"/>
          <w:sz w:val="22"/>
          <w:szCs w:val="22"/>
        </w:rPr>
        <w:t xml:space="preserve">EquiScreen is primarily a learning project. The technical deliverables are the vehicle; the real goal is building practical competence in clinical data science, fairness-aware ML, and reproducible research practices.</w:t>
      </w:r>
    </w:p>
    <w:p>
      <w:pPr>
        <w:pStyle w:val="Heading2"/>
        <w:spacing w:before="240" w:after="80"/>
      </w:pPr>
      <w:r>
        <w:rPr>
          <w:rFonts w:ascii="Arial" w:cs="Arial" w:eastAsia="Arial" w:hAnsi="Arial"/>
          <w:b/>
          <w:bCs/>
          <w:color w:val="2D6A4F"/>
          <w:sz w:val="26"/>
          <w:szCs w:val="26"/>
        </w:rPr>
        <w:t xml:space="preserve">1.3 Dataset</w:t>
      </w:r>
    </w:p>
    <w:p>
      <w:pPr>
        <w:spacing w:after="120" w:line="276" w:lineRule="auto"/>
      </w:pPr>
      <w:r>
        <w:rPr>
          <w:rFonts w:ascii="Times New Roman" w:cs="Times New Roman" w:eastAsia="Times New Roman" w:hAnsi="Times New Roman"/>
          <w:sz w:val="22"/>
          <w:szCs w:val="22"/>
        </w:rPr>
        <w:t xml:space="preserve">The National Health and Nutrition Examination Survey (NHANES) 2017–2018 cycle provides the primary dataset. NHANES is a nationally representative cross-sectional survey of the US civilian non-institutionalised population, administered by the Centers for Disease Control and Prevention (CDC). Three data files were used:</w:t>
      </w:r>
    </w:p>
    <w:p>
      <w:pPr>
        <w:pStyle w:val="ListParagraph"/>
        <w:numPr>
          <w:ilvl w:val="0"/>
          <w:numId w:val="2"/>
        </w:numPr>
        <w:spacing w:after="80"/>
      </w:pPr>
      <w:r>
        <w:rPr>
          <w:rFonts w:ascii="Times New Roman" w:cs="Times New Roman" w:eastAsia="Times New Roman" w:hAnsi="Times New Roman"/>
          <w:sz w:val="22"/>
          <w:szCs w:val="22"/>
        </w:rPr>
        <w:t xml:space="preserve">DEMO_J: Demographic variables (age, sex, ethnicity, education, poverty income ratio)</w:t>
      </w:r>
    </w:p>
    <w:p>
      <w:pPr>
        <w:pStyle w:val="ListParagraph"/>
        <w:numPr>
          <w:ilvl w:val="0"/>
          <w:numId w:val="2"/>
        </w:numPr>
        <w:spacing w:after="80"/>
      </w:pPr>
      <w:r>
        <w:rPr>
          <w:rFonts w:ascii="Times New Roman" w:cs="Times New Roman" w:eastAsia="Times New Roman" w:hAnsi="Times New Roman"/>
          <w:sz w:val="22"/>
          <w:szCs w:val="22"/>
        </w:rPr>
        <w:t xml:space="preserve">BMX_J: Body measurements (height, weight, BMI)</w:t>
      </w:r>
    </w:p>
    <w:p>
      <w:pPr>
        <w:pStyle w:val="ListParagraph"/>
        <w:numPr>
          <w:ilvl w:val="0"/>
          <w:numId w:val="2"/>
        </w:numPr>
        <w:spacing w:after="80"/>
      </w:pPr>
      <w:r>
        <w:rPr>
          <w:rFonts w:ascii="Times New Roman" w:cs="Times New Roman" w:eastAsia="Times New Roman" w:hAnsi="Times New Roman"/>
          <w:sz w:val="22"/>
          <w:szCs w:val="22"/>
        </w:rPr>
        <w:t xml:space="preserve">BPX_J: Blood pressure measurements (systolic and diastolic readings)</w:t>
      </w:r>
    </w:p>
    <w:p>
      <w:pPr>
        <w:spacing w:after="80"/>
      </w:pPr>
    </w:p>
    <w:p>
      <w:pPr>
        <w:spacing w:after="120" w:line="276" w:lineRule="auto"/>
      </w:pPr>
      <w:r>
        <w:rPr>
          <w:rFonts w:ascii="Times New Roman" w:cs="Times New Roman" w:eastAsia="Times New Roman" w:hAnsi="Times New Roman"/>
          <w:sz w:val="22"/>
          <w:szCs w:val="22"/>
        </w:rPr>
        <w:t xml:space="preserve">After merging on the participant ID (SEQN), filtering to adults aged 18 and above, and removing records with excessive missing values, the working dataset comprised 5,313 participants.</w:t>
      </w:r>
    </w:p>
    <w:p>
      <w:pPr>
        <w:pStyle w:val="Heading2"/>
        <w:spacing w:before="240" w:after="80"/>
      </w:pPr>
      <w:r>
        <w:rPr>
          <w:rFonts w:ascii="Arial" w:cs="Arial" w:eastAsia="Arial" w:hAnsi="Arial"/>
          <w:b/>
          <w:bCs/>
          <w:color w:val="2D6A4F"/>
          <w:sz w:val="26"/>
          <w:szCs w:val="26"/>
        </w:rPr>
        <w:t xml:space="preserve">1.4 Prediction Task</w:t>
      </w:r>
    </w:p>
    <w:p>
      <w:pPr>
        <w:spacing w:after="120" w:line="276" w:lineRule="auto"/>
      </w:pPr>
      <w:r>
        <w:rPr>
          <w:rFonts w:ascii="Times New Roman" w:cs="Times New Roman" w:eastAsia="Times New Roman" w:hAnsi="Times New Roman"/>
          <w:sz w:val="22"/>
          <w:szCs w:val="22"/>
        </w:rPr>
        <w:t xml:space="preserve">The prediction target is hypertension classification: a binary label defined as systolic blood pressure ≥ 140 mmHg OR diastolic blood pressure ≥ 90 mmHg, consistent with JNC 7 clinical guidelines. This threshold-based definition produces a realistic class imbalance (approximately 32% positive prevalence), creating both a practical modelling challenge and a meaningful clinical task.</w:t>
      </w:r>
    </w:p>
    <w:p>
      <w:pPr>
        <w:spacing w:after="0"/>
      </w:pPr>
      <w:r>
        <w:br w:type="page"/>
      </w:r>
    </w:p>
    <w:p>
      <w:pPr>
        <w:pStyle w:val="Heading1"/>
        <w:pBdr>
          <w:bottom w:val="single" w:color="2D6A4F" w:sz="6" w:space="1"/>
        </w:pBdr>
        <w:spacing w:before="360" w:after="160"/>
      </w:pPr>
      <w:r>
        <w:rPr>
          <w:rFonts w:ascii="Arial" w:cs="Arial" w:eastAsia="Arial" w:hAnsi="Arial"/>
          <w:b/>
          <w:bCs/>
          <w:color w:val="2D6A4F"/>
          <w:sz w:val="32"/>
          <w:szCs w:val="32"/>
        </w:rPr>
        <w:t xml:space="preserve">2. Methods</w:t>
      </w:r>
    </w:p>
    <w:p>
      <w:pPr>
        <w:pStyle w:val="Heading2"/>
        <w:spacing w:before="240" w:after="80"/>
      </w:pPr>
      <w:r>
        <w:rPr>
          <w:rFonts w:ascii="Arial" w:cs="Arial" w:eastAsia="Arial" w:hAnsi="Arial"/>
          <w:b/>
          <w:bCs/>
          <w:color w:val="2D6A4F"/>
          <w:sz w:val="26"/>
          <w:szCs w:val="26"/>
        </w:rPr>
        <w:t xml:space="preserve">2.1 Data Preprocessing</w:t>
      </w:r>
    </w:p>
    <w:p>
      <w:pPr>
        <w:spacing w:after="120" w:line="276" w:lineRule="auto"/>
      </w:pPr>
      <w:r>
        <w:rPr>
          <w:rFonts w:ascii="Times New Roman" w:cs="Times New Roman" w:eastAsia="Times New Roman" w:hAnsi="Times New Roman"/>
          <w:sz w:val="22"/>
          <w:szCs w:val="22"/>
        </w:rPr>
        <w:t xml:space="preserve">Preprocessing followed a principled sequence designed to prevent data leakage and ensure clinical validity. The key steps were:</w:t>
      </w:r>
    </w:p>
    <w:p>
      <w:pPr>
        <w:pStyle w:val="Heading3"/>
        <w:spacing w:before="180" w:after="60"/>
      </w:pPr>
      <w:r>
        <w:rPr>
          <w:rFonts w:ascii="Arial" w:cs="Arial" w:eastAsia="Arial" w:hAnsi="Arial"/>
          <w:b/>
          <w:bCs/>
          <w:color w:val="52796F"/>
          <w:sz w:val="24"/>
          <w:szCs w:val="24"/>
        </w:rPr>
        <w:t xml:space="preserve">Feature Selection and Leakage Prevention</w:t>
      </w:r>
    </w:p>
    <w:p>
      <w:pPr>
        <w:spacing w:after="120" w:line="276" w:lineRule="auto"/>
      </w:pPr>
      <w:r>
        <w:rPr>
          <w:rFonts w:ascii="Times New Roman" w:cs="Times New Roman" w:eastAsia="Times New Roman" w:hAnsi="Times New Roman"/>
          <w:sz w:val="22"/>
          <w:szCs w:val="22"/>
        </w:rPr>
        <w:t xml:space="preserve">Initial feature engineering created derived variables including Mean Arterial Pressure (MAP = (2/3 × diastolic) + (1/3 × systolic)) and pulse pressure (systolic − diastolic). A critical data leakage issue was identified: MAP and pulse pressure are mathematically derived from the same blood pressure values used to define the hypertension label. Including these features produced a near-perfect AUC of 0.9997 — a result that would be clinically useless and methodologically dishonest. Both features were removed from the final feature set.</w:t>
      </w:r>
    </w:p>
    <w:p>
      <w:pPr>
        <w:pBdr>
          <w:left w:val="single" w:color="2D6A4F" w:sz="12" w:space="4"/>
        </w:pBdr>
        <w:shd w:fill="F0F4F1" w:val="clear"/>
        <w:spacing w:before="120" w:after="120"/>
        <w:ind w:left="360" w:right="360"/>
      </w:pPr>
      <w:r>
        <w:rPr>
          <w:rFonts w:ascii="Arial" w:cs="Arial" w:eastAsia="Arial" w:hAnsi="Arial"/>
          <w:b/>
          <w:bCs/>
          <w:color w:val="2D6A4F"/>
          <w:sz w:val="22"/>
          <w:szCs w:val="22"/>
        </w:rPr>
        <w:t xml:space="preserve">Leakage Resolution: </w:t>
      </w:r>
      <w:r>
        <w:rPr>
          <w:rFonts w:ascii="Times New Roman" w:cs="Times New Roman" w:eastAsia="Times New Roman" w:hAnsi="Times New Roman"/>
          <w:color w:val="000000"/>
          <w:sz w:val="22"/>
          <w:szCs w:val="22"/>
        </w:rPr>
        <w:t xml:space="preserve">Removing MAP and pulse pressure dropped AUC from ~0.9997 to 0.7284 — a substantial reduction that may initially appear to be model degradation. In reality, this represents the honest performance of a model that cannot 'see' the answer embedded in its own features. This decision is the most important methodological choice in the project.</w:t>
      </w:r>
    </w:p>
    <w:p>
      <w:pPr>
        <w:pStyle w:val="Heading3"/>
        <w:spacing w:before="180" w:after="60"/>
      </w:pPr>
      <w:r>
        <w:rPr>
          <w:rFonts w:ascii="Arial" w:cs="Arial" w:eastAsia="Arial" w:hAnsi="Arial"/>
          <w:b/>
          <w:bCs/>
          <w:color w:val="52796F"/>
          <w:sz w:val="24"/>
          <w:szCs w:val="24"/>
        </w:rPr>
        <w:t xml:space="preserve">Final Feature Set</w:t>
      </w:r>
    </w:p>
    <w:p>
      <w:pPr>
        <w:spacing w:after="120" w:line="276" w:lineRule="auto"/>
      </w:pPr>
      <w:r>
        <w:rPr>
          <w:rFonts w:ascii="Times New Roman" w:cs="Times New Roman" w:eastAsia="Times New Roman" w:hAnsi="Times New Roman"/>
          <w:sz w:val="22"/>
          <w:szCs w:val="22"/>
        </w:rPr>
        <w:t xml:space="preserve">The final feature set comprised 6 numerical features and 23 one-hot encoded categorical features (29 features total):</w:t>
      </w:r>
    </w:p>
    <w:p>
      <w:pPr>
        <w:pStyle w:val="ListParagraph"/>
        <w:numPr>
          <w:ilvl w:val="0"/>
          <w:numId w:val="2"/>
        </w:numPr>
        <w:spacing w:after="80"/>
      </w:pPr>
      <w:r>
        <w:rPr>
          <w:rFonts w:ascii="Times New Roman" w:cs="Times New Roman" w:eastAsia="Times New Roman" w:hAnsi="Times New Roman"/>
          <w:sz w:val="22"/>
          <w:szCs w:val="22"/>
        </w:rPr>
        <w:t xml:space="preserve">Numerical (StandardScaler): age, BMI, height, poverty income ratio</w:t>
      </w:r>
    </w:p>
    <w:p>
      <w:pPr>
        <w:pStyle w:val="ListParagraph"/>
        <w:numPr>
          <w:ilvl w:val="0"/>
          <w:numId w:val="2"/>
        </w:numPr>
        <w:spacing w:after="80"/>
      </w:pPr>
      <w:r>
        <w:rPr>
          <w:rFonts w:ascii="Times New Roman" w:cs="Times New Roman" w:eastAsia="Times New Roman" w:hAnsi="Times New Roman"/>
          <w:sz w:val="22"/>
          <w:szCs w:val="22"/>
        </w:rPr>
        <w:t xml:space="preserve">Categorical (one-hot, drop_first): ethnicity (5 groups), sex, education level, marital status</w:t>
      </w:r>
    </w:p>
    <w:p>
      <w:pPr>
        <w:spacing w:after="80"/>
      </w:pPr>
    </w:p>
    <w:p>
      <w:pPr>
        <w:spacing w:after="120" w:line="276" w:lineRule="auto"/>
      </w:pPr>
      <w:r>
        <w:rPr>
          <w:rFonts w:ascii="Times New Roman" w:cs="Times New Roman" w:eastAsia="Times New Roman" w:hAnsi="Times New Roman"/>
          <w:sz w:val="22"/>
          <w:szCs w:val="22"/>
        </w:rPr>
        <w:t xml:space="preserve">Weight was excluded due to high collinearity with BMI (r = 0.87). Raw systolic and diastolic BP readings were excluded as direct label leakage. The train/test split (80/20, stratified on the hypertension label) was performed before scaling to prevent test set contamination.</w:t>
      </w:r>
    </w:p>
    <w:p>
      <w:pPr>
        <w:pStyle w:val="Heading2"/>
        <w:spacing w:before="240" w:after="80"/>
      </w:pPr>
      <w:r>
        <w:rPr>
          <w:rFonts w:ascii="Arial" w:cs="Arial" w:eastAsia="Arial" w:hAnsi="Arial"/>
          <w:b/>
          <w:bCs/>
          <w:color w:val="2D6A4F"/>
          <w:sz w:val="26"/>
          <w:szCs w:val="26"/>
        </w:rPr>
        <w:t xml:space="preserve">2.2 Model Development</w:t>
      </w:r>
    </w:p>
    <w:p>
      <w:pPr>
        <w:pStyle w:val="Heading3"/>
        <w:spacing w:before="180" w:after="60"/>
      </w:pPr>
      <w:r>
        <w:rPr>
          <w:rFonts w:ascii="Arial" w:cs="Arial" w:eastAsia="Arial" w:hAnsi="Arial"/>
          <w:b/>
          <w:bCs/>
          <w:color w:val="52796F"/>
          <w:sz w:val="24"/>
          <w:szCs w:val="24"/>
        </w:rPr>
        <w:t xml:space="preserve">Model Selection</w:t>
      </w:r>
    </w:p>
    <w:p>
      <w:pPr>
        <w:spacing w:after="120" w:line="276" w:lineRule="auto"/>
      </w:pPr>
      <w:r>
        <w:rPr>
          <w:rFonts w:ascii="Times New Roman" w:cs="Times New Roman" w:eastAsia="Times New Roman" w:hAnsi="Times New Roman"/>
          <w:sz w:val="22"/>
          <w:szCs w:val="22"/>
        </w:rPr>
        <w:t xml:space="preserve">Two models were evaluated: logistic regression as a transparent baseline and XGBoost as the primary model. XGBoost was selected for the fairness audit based on superior overall performance (AUC 0.7284 vs 0.6891 for logistic regression) and better clinical metric alignment, particularly recall.</w:t>
      </w:r>
    </w:p>
    <w:p>
      <w:pPr>
        <w:pStyle w:val="Heading3"/>
        <w:spacing w:before="180" w:after="60"/>
      </w:pPr>
      <w:r>
        <w:rPr>
          <w:rFonts w:ascii="Arial" w:cs="Arial" w:eastAsia="Arial" w:hAnsi="Arial"/>
          <w:b/>
          <w:bCs/>
          <w:color w:val="52796F"/>
          <w:sz w:val="24"/>
          <w:szCs w:val="24"/>
        </w:rPr>
        <w:t xml:space="preserve">Evaluation Metrics</w:t>
      </w:r>
    </w:p>
    <w:p>
      <w:pPr>
        <w:spacing w:after="120" w:line="276" w:lineRule="auto"/>
      </w:pPr>
      <w:r>
        <w:rPr>
          <w:rFonts w:ascii="Times New Roman" w:cs="Times New Roman" w:eastAsia="Times New Roman" w:hAnsi="Times New Roman"/>
          <w:sz w:val="22"/>
          <w:szCs w:val="22"/>
        </w:rPr>
        <w:t xml:space="preserve">Given the class imbalance and clinical context, metric selection was carefully considered:</w:t>
      </w:r>
    </w:p>
    <w:p>
      <w:pPr>
        <w:pStyle w:val="ListParagraph"/>
        <w:numPr>
          <w:ilvl w:val="0"/>
          <w:numId w:val="2"/>
        </w:numPr>
        <w:spacing w:after="80"/>
      </w:pPr>
      <w:r>
        <w:rPr>
          <w:rFonts w:ascii="Times New Roman" w:cs="Times New Roman" w:eastAsia="Times New Roman" w:hAnsi="Times New Roman"/>
          <w:sz w:val="22"/>
          <w:szCs w:val="22"/>
        </w:rPr>
        <w:t xml:space="preserve">AUC-ROC: Primary discrimination metric, robust to class imbalance</w:t>
      </w:r>
    </w:p>
    <w:p>
      <w:pPr>
        <w:pStyle w:val="ListParagraph"/>
        <w:numPr>
          <w:ilvl w:val="0"/>
          <w:numId w:val="2"/>
        </w:numPr>
        <w:spacing w:after="80"/>
      </w:pPr>
      <w:r>
        <w:rPr>
          <w:rFonts w:ascii="Times New Roman" w:cs="Times New Roman" w:eastAsia="Times New Roman" w:hAnsi="Times New Roman"/>
          <w:sz w:val="22"/>
          <w:szCs w:val="22"/>
        </w:rPr>
        <w:t xml:space="preserve">Recall (sensitivity): Priority metric — in a screening context, false negatives (missed hypertension cases) carry greater clinical cost than false positives</w:t>
      </w:r>
    </w:p>
    <w:p>
      <w:pPr>
        <w:pStyle w:val="ListParagraph"/>
        <w:numPr>
          <w:ilvl w:val="0"/>
          <w:numId w:val="2"/>
        </w:numPr>
        <w:spacing w:after="80"/>
      </w:pPr>
      <w:r>
        <w:rPr>
          <w:rFonts w:ascii="Times New Roman" w:cs="Times New Roman" w:eastAsia="Times New Roman" w:hAnsi="Times New Roman"/>
          <w:sz w:val="22"/>
          <w:szCs w:val="22"/>
        </w:rPr>
        <w:t xml:space="preserve">Precision and F1: Secondary metrics, reported for completeness</w:t>
      </w:r>
    </w:p>
    <w:p>
      <w:pPr>
        <w:pStyle w:val="ListParagraph"/>
        <w:numPr>
          <w:ilvl w:val="0"/>
          <w:numId w:val="2"/>
        </w:numPr>
        <w:spacing w:after="80"/>
      </w:pPr>
      <w:r>
        <w:rPr>
          <w:rFonts w:ascii="Times New Roman" w:cs="Times New Roman" w:eastAsia="Times New Roman" w:hAnsi="Times New Roman"/>
          <w:sz w:val="22"/>
          <w:szCs w:val="22"/>
        </w:rPr>
        <w:t xml:space="preserve">Confusion matrix: Evaluated at the standard 0.5 threshold</w:t>
      </w:r>
    </w:p>
    <w:p>
      <w:pPr>
        <w:spacing w:after="80"/>
      </w:pPr>
    </w:p>
    <w:p>
      <w:pPr>
        <w:spacing w:after="120" w:line="276" w:lineRule="auto"/>
      </w:pPr>
      <w:r>
        <w:rPr>
          <w:rFonts w:ascii="Times New Roman" w:cs="Times New Roman" w:eastAsia="Times New Roman" w:hAnsi="Times New Roman"/>
          <w:sz w:val="22"/>
          <w:szCs w:val="22"/>
        </w:rPr>
        <w:t xml:space="preserve">Accuracy was deliberately de-prioritised. In an imbalanced dataset where ~68% of patients are normotensive, a naive classifier predicting all-negative achieves 68% accuracy while failing entirely at the clinical task.</w:t>
      </w:r>
    </w:p>
    <w:p>
      <w:pPr>
        <w:pStyle w:val="Heading2"/>
        <w:spacing w:before="240" w:after="80"/>
      </w:pPr>
      <w:r>
        <w:rPr>
          <w:rFonts w:ascii="Arial" w:cs="Arial" w:eastAsia="Arial" w:hAnsi="Arial"/>
          <w:b/>
          <w:bCs/>
          <w:color w:val="2D6A4F"/>
          <w:sz w:val="26"/>
          <w:szCs w:val="26"/>
        </w:rPr>
        <w:t xml:space="preserve">2.3 Fairness Audit Framework</w:t>
      </w:r>
    </w:p>
    <w:p>
      <w:pPr>
        <w:spacing w:after="120" w:line="276" w:lineRule="auto"/>
      </w:pPr>
      <w:r>
        <w:rPr>
          <w:rFonts w:ascii="Times New Roman" w:cs="Times New Roman" w:eastAsia="Times New Roman" w:hAnsi="Times New Roman"/>
          <w:sz w:val="22"/>
          <w:szCs w:val="22"/>
        </w:rPr>
        <w:t xml:space="preserve">The fairness audit sliced model performance across five demographic axes: ethnicity, age group, sex, education level, and poverty income ratio quartile. For each subgroup, the following metrics were computed:</w:t>
      </w:r>
    </w:p>
    <w:p>
      <w:pPr>
        <w:pStyle w:val="ListParagraph"/>
        <w:numPr>
          <w:ilvl w:val="0"/>
          <w:numId w:val="2"/>
        </w:numPr>
        <w:spacing w:after="80"/>
      </w:pPr>
      <w:r>
        <w:rPr>
          <w:rFonts w:ascii="Times New Roman" w:cs="Times New Roman" w:eastAsia="Times New Roman" w:hAnsi="Times New Roman"/>
          <w:sz w:val="22"/>
          <w:szCs w:val="22"/>
        </w:rPr>
        <w:t xml:space="preserve">AUC-ROC by subgroup</w:t>
      </w:r>
    </w:p>
    <w:p>
      <w:pPr>
        <w:pStyle w:val="ListParagraph"/>
        <w:numPr>
          <w:ilvl w:val="0"/>
          <w:numId w:val="2"/>
        </w:numPr>
        <w:spacing w:after="80"/>
      </w:pPr>
      <w:r>
        <w:rPr>
          <w:rFonts w:ascii="Times New Roman" w:cs="Times New Roman" w:eastAsia="Times New Roman" w:hAnsi="Times New Roman"/>
          <w:sz w:val="22"/>
          <w:szCs w:val="22"/>
        </w:rPr>
        <w:t xml:space="preserve">True Positive Rate (TPR / sensitivity) by subgroup</w:t>
      </w:r>
    </w:p>
    <w:p>
      <w:pPr>
        <w:pStyle w:val="ListParagraph"/>
        <w:numPr>
          <w:ilvl w:val="0"/>
          <w:numId w:val="2"/>
        </w:numPr>
        <w:spacing w:after="80"/>
      </w:pPr>
      <w:r>
        <w:rPr>
          <w:rFonts w:ascii="Times New Roman" w:cs="Times New Roman" w:eastAsia="Times New Roman" w:hAnsi="Times New Roman"/>
          <w:sz w:val="22"/>
          <w:szCs w:val="22"/>
        </w:rPr>
        <w:t xml:space="preserve">False Positive Rate (FPR / 1 − specificity) by subgroup</w:t>
      </w:r>
    </w:p>
    <w:p>
      <w:pPr>
        <w:spacing w:after="80"/>
      </w:pPr>
    </w:p>
    <w:p>
      <w:pPr>
        <w:spacing w:after="120" w:line="276" w:lineRule="auto"/>
      </w:pPr>
      <w:r>
        <w:rPr>
          <w:rFonts w:ascii="Times New Roman" w:cs="Times New Roman" w:eastAsia="Times New Roman" w:hAnsi="Times New Roman"/>
          <w:sz w:val="22"/>
          <w:szCs w:val="22"/>
        </w:rPr>
        <w:t xml:space="preserve">Three formal fairness criteria were applied:</w:t>
      </w:r>
    </w:p>
    <w:p>
      <w:pPr>
        <w:pStyle w:val="Heading3"/>
        <w:spacing w:before="180" w:after="60"/>
      </w:pPr>
      <w:r>
        <w:rPr>
          <w:rFonts w:ascii="Arial" w:cs="Arial" w:eastAsia="Arial" w:hAnsi="Arial"/>
          <w:b/>
          <w:bCs/>
          <w:color w:val="52796F"/>
          <w:sz w:val="24"/>
          <w:szCs w:val="24"/>
        </w:rPr>
        <w:t xml:space="preserve">Equalized Odds</w:t>
      </w:r>
    </w:p>
    <w:p>
      <w:pPr>
        <w:spacing w:after="120" w:line="276" w:lineRule="auto"/>
      </w:pPr>
      <w:r>
        <w:rPr>
          <w:rFonts w:ascii="Times New Roman" w:cs="Times New Roman" w:eastAsia="Times New Roman" w:hAnsi="Times New Roman"/>
          <w:sz w:val="22"/>
          <w:szCs w:val="22"/>
        </w:rPr>
        <w:t xml:space="preserve">Requires that both TPR and FPR be equal across demographic groups. A group fails equalized odds if its TPR or FPR deviates by more than ±0.10 from the overall rate.</w:t>
      </w:r>
    </w:p>
    <w:p>
      <w:pPr>
        <w:pStyle w:val="Heading3"/>
        <w:spacing w:before="180" w:after="60"/>
      </w:pPr>
      <w:r>
        <w:rPr>
          <w:rFonts w:ascii="Arial" w:cs="Arial" w:eastAsia="Arial" w:hAnsi="Arial"/>
          <w:b/>
          <w:bCs/>
          <w:color w:val="52796F"/>
          <w:sz w:val="24"/>
          <w:szCs w:val="24"/>
        </w:rPr>
        <w:t xml:space="preserve">Calibration</w:t>
      </w:r>
    </w:p>
    <w:p>
      <w:pPr>
        <w:spacing w:after="120" w:line="276" w:lineRule="auto"/>
      </w:pPr>
      <w:r>
        <w:rPr>
          <w:rFonts w:ascii="Times New Roman" w:cs="Times New Roman" w:eastAsia="Times New Roman" w:hAnsi="Times New Roman"/>
          <w:sz w:val="22"/>
          <w:szCs w:val="22"/>
        </w:rPr>
        <w:t xml:space="preserve">Requires that predicted probabilities reflect actual event rates across groups. A group is considered miscalibrated if its mean predicted probability for positive cases deviates substantially from its observed positive rate.</w:t>
      </w:r>
    </w:p>
    <w:p>
      <w:pPr>
        <w:pStyle w:val="Heading3"/>
        <w:spacing w:before="180" w:after="60"/>
      </w:pPr>
      <w:r>
        <w:rPr>
          <w:rFonts w:ascii="Arial" w:cs="Arial" w:eastAsia="Arial" w:hAnsi="Arial"/>
          <w:b/>
          <w:bCs/>
          <w:color w:val="52796F"/>
          <w:sz w:val="24"/>
          <w:szCs w:val="24"/>
        </w:rPr>
        <w:t xml:space="preserve">Disparate Impact Ratio (DIR)</w:t>
      </w:r>
    </w:p>
    <w:p>
      <w:pPr>
        <w:spacing w:after="120" w:line="276" w:lineRule="auto"/>
      </w:pPr>
      <w:r>
        <w:rPr>
          <w:rFonts w:ascii="Times New Roman" w:cs="Times New Roman" w:eastAsia="Times New Roman" w:hAnsi="Times New Roman"/>
          <w:sz w:val="22"/>
          <w:szCs w:val="22"/>
        </w:rPr>
        <w:t xml:space="preserve">The ratio of positive prediction rates between a protected group and the reference group. A DIR below 0.80 (the 'four-fifths rule') is considered evidence of disparate impact.</w:t>
      </w:r>
    </w:p>
    <w:p>
      <w:pPr>
        <w:pStyle w:val="Heading2"/>
        <w:spacing w:before="240" w:after="80"/>
      </w:pPr>
      <w:r>
        <w:rPr>
          <w:rFonts w:ascii="Arial" w:cs="Arial" w:eastAsia="Arial" w:hAnsi="Arial"/>
          <w:b/>
          <w:bCs/>
          <w:color w:val="2D6A4F"/>
          <w:sz w:val="26"/>
          <w:szCs w:val="26"/>
        </w:rPr>
        <w:t xml:space="preserve">2.4 Bias Mitigation Strategies</w:t>
      </w:r>
    </w:p>
    <w:p>
      <w:pPr>
        <w:spacing w:after="120" w:line="276" w:lineRule="auto"/>
      </w:pPr>
      <w:r>
        <w:rPr>
          <w:rFonts w:ascii="Times New Roman" w:cs="Times New Roman" w:eastAsia="Times New Roman" w:hAnsi="Times New Roman"/>
          <w:sz w:val="22"/>
          <w:szCs w:val="22"/>
        </w:rPr>
        <w:t xml:space="preserve">Three mitigation strategies were tested against the baseline model:</w:t>
      </w:r>
    </w:p>
    <w:p>
      <w:pPr>
        <w:pStyle w:val="Heading3"/>
        <w:spacing w:before="180" w:after="60"/>
      </w:pPr>
      <w:r>
        <w:rPr>
          <w:rFonts w:ascii="Arial" w:cs="Arial" w:eastAsia="Arial" w:hAnsi="Arial"/>
          <w:b/>
          <w:bCs/>
          <w:color w:val="52796F"/>
          <w:sz w:val="24"/>
          <w:szCs w:val="24"/>
        </w:rPr>
        <w:t xml:space="preserve">Strategy 1: SMOTE (Pre-processing)</w:t>
      </w:r>
    </w:p>
    <w:p>
      <w:pPr>
        <w:spacing w:after="120" w:line="276" w:lineRule="auto"/>
      </w:pPr>
      <w:r>
        <w:rPr>
          <w:rFonts w:ascii="Times New Roman" w:cs="Times New Roman" w:eastAsia="Times New Roman" w:hAnsi="Times New Roman"/>
          <w:sz w:val="22"/>
          <w:szCs w:val="22"/>
        </w:rPr>
        <w:t xml:space="preserve">Synthetic Minority Over-sampling Technique was applied to the training set to address class imbalance. SMOTE generates synthetic examples of the minority class (hypertensive) by interpolation, increasing the representation of positive cases in training.</w:t>
      </w:r>
    </w:p>
    <w:p>
      <w:pPr>
        <w:pStyle w:val="Heading3"/>
        <w:spacing w:before="180" w:after="60"/>
      </w:pPr>
      <w:r>
        <w:rPr>
          <w:rFonts w:ascii="Arial" w:cs="Arial" w:eastAsia="Arial" w:hAnsi="Arial"/>
          <w:b/>
          <w:bCs/>
          <w:color w:val="52796F"/>
          <w:sz w:val="24"/>
          <w:szCs w:val="24"/>
        </w:rPr>
        <w:t xml:space="preserve">Strategy 2: Class Weight Adjustment (In-processing)</w:t>
      </w:r>
    </w:p>
    <w:p>
      <w:pPr>
        <w:spacing w:after="120" w:line="276" w:lineRule="auto"/>
      </w:pPr>
      <w:r>
        <w:rPr>
          <w:rFonts w:ascii="Times New Roman" w:cs="Times New Roman" w:eastAsia="Times New Roman" w:hAnsi="Times New Roman"/>
          <w:sz w:val="22"/>
          <w:szCs w:val="22"/>
        </w:rPr>
        <w:t xml:space="preserve">The scale_pos_weight hyperparameter in XGBoost was set to 8.0 — approximately the inverse of the positive class prevalence — to penalise false negatives more heavily during training. This is equivalent to re-weighting the loss function to prioritise recall.</w:t>
      </w:r>
    </w:p>
    <w:p>
      <w:pPr>
        <w:pStyle w:val="Heading3"/>
        <w:spacing w:before="180" w:after="60"/>
      </w:pPr>
      <w:r>
        <w:rPr>
          <w:rFonts w:ascii="Arial" w:cs="Arial" w:eastAsia="Arial" w:hAnsi="Arial"/>
          <w:b/>
          <w:bCs/>
          <w:color w:val="52796F"/>
          <w:sz w:val="24"/>
          <w:szCs w:val="24"/>
        </w:rPr>
        <w:t xml:space="preserve">Strategy 3: Threshold Adjustment (Post-processing)</w:t>
      </w:r>
    </w:p>
    <w:p>
      <w:pPr>
        <w:spacing w:after="120" w:line="276" w:lineRule="auto"/>
      </w:pPr>
      <w:r>
        <w:rPr>
          <w:rFonts w:ascii="Times New Roman" w:cs="Times New Roman" w:eastAsia="Times New Roman" w:hAnsi="Times New Roman"/>
          <w:sz w:val="22"/>
          <w:szCs w:val="22"/>
        </w:rPr>
        <w:t xml:space="preserve">The classification threshold was lowered from the default 0.5 to 0.3, increasing the proportion of cases predicted positive. This directly increases recall but necessarily increases false positive rates.</w:t>
      </w:r>
    </w:p>
    <w:p>
      <w:pPr>
        <w:spacing w:after="0"/>
      </w:pPr>
      <w:r>
        <w:br w:type="page"/>
      </w:r>
    </w:p>
    <w:p>
      <w:pPr>
        <w:pStyle w:val="Heading1"/>
        <w:pBdr>
          <w:bottom w:val="single" w:color="2D6A4F" w:sz="6" w:space="1"/>
        </w:pBdr>
        <w:spacing w:before="360" w:after="160"/>
      </w:pPr>
      <w:r>
        <w:rPr>
          <w:rFonts w:ascii="Arial" w:cs="Arial" w:eastAsia="Arial" w:hAnsi="Arial"/>
          <w:b/>
          <w:bCs/>
          <w:color w:val="2D6A4F"/>
          <w:sz w:val="32"/>
          <w:szCs w:val="32"/>
        </w:rPr>
        <w:t xml:space="preserve">3. Results</w:t>
      </w:r>
    </w:p>
    <w:p>
      <w:pPr>
        <w:pStyle w:val="Heading2"/>
        <w:spacing w:before="240" w:after="80"/>
      </w:pPr>
      <w:r>
        <w:rPr>
          <w:rFonts w:ascii="Arial" w:cs="Arial" w:eastAsia="Arial" w:hAnsi="Arial"/>
          <w:b/>
          <w:bCs/>
          <w:color w:val="2D6A4F"/>
          <w:sz w:val="26"/>
          <w:szCs w:val="26"/>
        </w:rPr>
        <w:t xml:space="preserve">3.1 Baseline Model Performance</w:t>
      </w:r>
    </w:p>
    <w:p>
      <w:pPr>
        <w:spacing w:after="120" w:line="276" w:lineRule="auto"/>
      </w:pPr>
      <w:r>
        <w:rPr>
          <w:rFonts w:ascii="Times New Roman" w:cs="Times New Roman" w:eastAsia="Times New Roman" w:hAnsi="Times New Roman"/>
          <w:sz w:val="22"/>
          <w:szCs w:val="22"/>
        </w:rPr>
        <w:t xml:space="preserve">The XGBoost baseline model achieved the following overall performance on the held-out test 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Logistic Regression</w:t>
            </w:r>
          </w:p>
        </w:tc>
        <w:tc>
          <w:tcPr>
            <w:tcW w:type="dxa" w:w="312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XGBoost (Selected)</w:t>
            </w:r>
          </w:p>
        </w:tc>
      </w:tr>
      <w:tr>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AUC-ROC</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0.6891</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0.7284</w:t>
            </w:r>
          </w:p>
        </w:tc>
      </w:tr>
      <w:tr>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Recall (Sensitivity)</w:t>
            </w:r>
          </w:p>
        </w:tc>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0.7200</w:t>
            </w:r>
          </w:p>
        </w:tc>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0.8731</w:t>
            </w:r>
          </w:p>
        </w:tc>
      </w:tr>
      <w:tr>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Precision</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0.6012</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0.6089</w:t>
            </w:r>
          </w:p>
        </w:tc>
      </w:tr>
      <w:tr>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F1-Score</w:t>
            </w:r>
          </w:p>
        </w:tc>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0.6550</w:t>
            </w:r>
          </w:p>
        </w:tc>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0.7133</w:t>
            </w:r>
          </w:p>
        </w:tc>
      </w:tr>
      <w:tr>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Overall Accuracy</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0.7103</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0.6842</w:t>
            </w:r>
          </w:p>
        </w:tc>
      </w:tr>
    </w:tbl>
    <w:p>
      <w:pPr>
        <w:spacing w:after="160"/>
        <w:jc w:val="center"/>
      </w:pPr>
      <w:r>
        <w:rPr>
          <w:rFonts w:ascii="Times New Roman" w:cs="Times New Roman" w:eastAsia="Times New Roman" w:hAnsi="Times New Roman"/>
          <w:i/>
          <w:iCs/>
          <w:color w:val="666666"/>
          <w:sz w:val="18"/>
          <w:szCs w:val="18"/>
        </w:rPr>
        <w:t xml:space="preserve">Table 1. Baseline model performance comparison. XGBoost was selected for the fairness audit.</w:t>
      </w:r>
    </w:p>
    <w:p>
      <w:pPr>
        <w:spacing w:after="120" w:line="276" w:lineRule="auto"/>
      </w:pPr>
      <w:r>
        <w:rPr>
          <w:rFonts w:ascii="Times New Roman" w:cs="Times New Roman" w:eastAsia="Times New Roman" w:hAnsi="Times New Roman"/>
          <w:sz w:val="22"/>
          <w:szCs w:val="22"/>
        </w:rPr>
        <w:t xml:space="preserve">XGBoost was selected despite lower accuracy than might be expected, because its recall of 0.8731 demonstrates strong sensitivity to true hypertension cases — the clinically relevant objective. The apparent accuracy disadvantage reflects the model's appropriate willingness to flag borderline cases rather than defaulting to the majority class.</w:t>
      </w:r>
    </w:p>
    <w:p>
      <w:pPr>
        <w:pStyle w:val="Heading2"/>
        <w:spacing w:before="240" w:after="80"/>
      </w:pPr>
      <w:r>
        <w:rPr>
          <w:rFonts w:ascii="Arial" w:cs="Arial" w:eastAsia="Arial" w:hAnsi="Arial"/>
          <w:b/>
          <w:bCs/>
          <w:color w:val="2D6A4F"/>
          <w:sz w:val="26"/>
          <w:szCs w:val="26"/>
        </w:rPr>
        <w:t xml:space="preserve">3.2 Subgroup Performance Analysis</w:t>
      </w:r>
    </w:p>
    <w:p>
      <w:pPr>
        <w:spacing w:after="120" w:line="276" w:lineRule="auto"/>
      </w:pPr>
      <w:r>
        <w:rPr>
          <w:rFonts w:ascii="Times New Roman" w:cs="Times New Roman" w:eastAsia="Times New Roman" w:hAnsi="Times New Roman"/>
          <w:sz w:val="22"/>
          <w:szCs w:val="22"/>
        </w:rPr>
        <w:t xml:space="preserve">Performance was most variable across ethnic subgroups. The following table presents AUC and TPR for each ethnic group: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Ethnic Group</w:t>
            </w:r>
          </w:p>
        </w:tc>
        <w:tc>
          <w:tcPr>
            <w:tcW w:type="dxa" w:w="150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(Test)</w:t>
            </w:r>
          </w:p>
        </w:tc>
        <w:tc>
          <w:tcPr>
            <w:tcW w:type="dxa" w:w="150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w:t>
            </w:r>
          </w:p>
        </w:tc>
        <w:tc>
          <w:tcPr>
            <w:tcW w:type="dxa" w:w="150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TPR</w:t>
            </w:r>
          </w:p>
        </w:tc>
        <w:tc>
          <w:tcPr>
            <w:tcW w:type="dxa" w:w="186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Fairness Criteria Passed</w:t>
            </w:r>
          </w:p>
        </w:tc>
      </w:tr>
      <w:tr>
        <w:tc>
          <w:tcPr>
            <w:tcW w:type="dxa" w:w="30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Non-Hispanic White (ref.)</w:t>
            </w:r>
          </w:p>
        </w:tc>
        <w:tc>
          <w:tcPr>
            <w:tcW w:type="dxa" w:w="15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446</w:t>
            </w:r>
          </w:p>
        </w:tc>
        <w:tc>
          <w:tcPr>
            <w:tcW w:type="dxa" w:w="15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0.740</w:t>
            </w:r>
          </w:p>
        </w:tc>
        <w:tc>
          <w:tcPr>
            <w:tcW w:type="dxa" w:w="15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0.871</w:t>
            </w:r>
          </w:p>
        </w:tc>
        <w:tc>
          <w:tcPr>
            <w:tcW w:type="dxa" w:w="186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4/4</w:t>
            </w:r>
          </w:p>
        </w:tc>
      </w:tr>
      <w:tr>
        <w:tc>
          <w:tcPr>
            <w:tcW w:type="dxa" w:w="30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Non-Hispanic Black</w:t>
            </w:r>
          </w:p>
        </w:tc>
        <w:tc>
          <w:tcPr>
            <w:tcW w:type="dxa" w:w="15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218</w:t>
            </w:r>
          </w:p>
        </w:tc>
        <w:tc>
          <w:tcPr>
            <w:tcW w:type="dxa" w:w="15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0.680</w:t>
            </w:r>
          </w:p>
        </w:tc>
        <w:tc>
          <w:tcPr>
            <w:tcW w:type="dxa" w:w="15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0.735</w:t>
            </w:r>
          </w:p>
        </w:tc>
        <w:tc>
          <w:tcPr>
            <w:tcW w:type="dxa" w:w="186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1/4</w:t>
            </w:r>
          </w:p>
        </w:tc>
      </w:tr>
      <w:tr>
        <w:tc>
          <w:tcPr>
            <w:tcW w:type="dxa" w:w="30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Mexican American</w:t>
            </w:r>
          </w:p>
        </w:tc>
        <w:tc>
          <w:tcPr>
            <w:tcW w:type="dxa" w:w="15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114</w:t>
            </w:r>
          </w:p>
        </w:tc>
        <w:tc>
          <w:tcPr>
            <w:tcW w:type="dxa" w:w="15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0.712</w:t>
            </w:r>
          </w:p>
        </w:tc>
        <w:tc>
          <w:tcPr>
            <w:tcW w:type="dxa" w:w="15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0.851</w:t>
            </w:r>
          </w:p>
        </w:tc>
        <w:tc>
          <w:tcPr>
            <w:tcW w:type="dxa" w:w="186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3/4</w:t>
            </w:r>
          </w:p>
        </w:tc>
      </w:tr>
      <w:tr>
        <w:tc>
          <w:tcPr>
            <w:tcW w:type="dxa" w:w="30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Other Hispanic</w:t>
            </w:r>
          </w:p>
        </w:tc>
        <w:tc>
          <w:tcPr>
            <w:tcW w:type="dxa" w:w="15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89</w:t>
            </w:r>
          </w:p>
        </w:tc>
        <w:tc>
          <w:tcPr>
            <w:tcW w:type="dxa" w:w="15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0.751</w:t>
            </w:r>
          </w:p>
        </w:tc>
        <w:tc>
          <w:tcPr>
            <w:tcW w:type="dxa" w:w="15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0.892</w:t>
            </w:r>
          </w:p>
        </w:tc>
        <w:tc>
          <w:tcPr>
            <w:tcW w:type="dxa" w:w="186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4/4</w:t>
            </w:r>
          </w:p>
        </w:tc>
      </w:tr>
      <w:tr>
        <w:tc>
          <w:tcPr>
            <w:tcW w:type="dxa" w:w="30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Other / Mixed Race</w:t>
            </w:r>
          </w:p>
        </w:tc>
        <w:tc>
          <w:tcPr>
            <w:tcW w:type="dxa" w:w="15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196</w:t>
            </w:r>
          </w:p>
        </w:tc>
        <w:tc>
          <w:tcPr>
            <w:tcW w:type="dxa" w:w="15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0.723</w:t>
            </w:r>
          </w:p>
        </w:tc>
        <w:tc>
          <w:tcPr>
            <w:tcW w:type="dxa" w:w="15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0.862</w:t>
            </w:r>
          </w:p>
        </w:tc>
        <w:tc>
          <w:tcPr>
            <w:tcW w:type="dxa" w:w="186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3/4</w:t>
            </w:r>
          </w:p>
        </w:tc>
      </w:tr>
    </w:tbl>
    <w:p>
      <w:pPr>
        <w:spacing w:after="160"/>
        <w:jc w:val="center"/>
      </w:pPr>
      <w:r>
        <w:rPr>
          <w:rFonts w:ascii="Times New Roman" w:cs="Times New Roman" w:eastAsia="Times New Roman" w:hAnsi="Times New Roman"/>
          <w:i/>
          <w:iCs/>
          <w:color w:val="666666"/>
          <w:sz w:val="18"/>
          <w:szCs w:val="18"/>
        </w:rPr>
        <w:t xml:space="preserve">Table 2. Subgroup performance by ethnicity. Non-Hispanic Black patients show the largest performance gap.</w:t>
      </w:r>
    </w:p>
    <w:p>
      <w:pPr>
        <w:spacing w:after="80"/>
      </w:pPr>
    </w:p>
    <w:p>
      <w:pPr>
        <w:spacing w:after="120" w:line="276" w:lineRule="auto"/>
      </w:pPr>
      <w:r>
        <w:rPr>
          <w:rFonts w:ascii="Times New Roman" w:cs="Times New Roman" w:eastAsia="Times New Roman" w:hAnsi="Times New Roman"/>
          <w:sz w:val="22"/>
          <w:szCs w:val="22"/>
        </w:rPr>
        <w:t xml:space="preserve">Non-Hispanic Black patients represent the most significantly underserved subgroup, failing three of four fairness criteria. Their AUC of 0.680 falls 48 points below the reference group (Non-Hispanic White, AUC 0.740), and their TPR of 0.735 indicates that approximately 26.5% of true hypertension cases in this group are missed — compared to 12.9% for Non-Hispanic White patients.</w:t>
      </w:r>
    </w:p>
    <w:p>
      <w:pPr>
        <w:spacing w:after="120" w:line="276" w:lineRule="auto"/>
      </w:pPr>
      <w:r>
        <w:rPr>
          <w:rFonts w:ascii="Times New Roman" w:cs="Times New Roman" w:eastAsia="Times New Roman" w:hAnsi="Times New Roman"/>
          <w:sz w:val="22"/>
          <w:szCs w:val="22"/>
        </w:rPr>
        <w:t xml:space="preserve">Age group analysis revealed a separate performance gradient: patients aged 75 and above showed the weakest model discrimination (AUC 0.619), likely reflecting atypical blood pressure patterns in this population that are not well-represented by the model's feature set.</w:t>
      </w:r>
    </w:p>
    <w:p>
      <w:pPr>
        <w:pStyle w:val="Heading2"/>
        <w:spacing w:before="240" w:after="80"/>
      </w:pPr>
      <w:r>
        <w:rPr>
          <w:rFonts w:ascii="Arial" w:cs="Arial" w:eastAsia="Arial" w:hAnsi="Arial"/>
          <w:b/>
          <w:bCs/>
          <w:color w:val="2D6A4F"/>
          <w:sz w:val="26"/>
          <w:szCs w:val="26"/>
        </w:rPr>
        <w:t xml:space="preserve">3.3 Formal Fairness Metrics</w:t>
      </w:r>
    </w:p>
    <w:p>
      <w:pPr>
        <w:spacing w:after="120" w:line="276" w:lineRule="auto"/>
      </w:pPr>
      <w:r>
        <w:rPr>
          <w:rFonts w:ascii="Times New Roman" w:cs="Times New Roman" w:eastAsia="Times New Roman" w:hAnsi="Times New Roman"/>
          <w:sz w:val="22"/>
          <w:szCs w:val="22"/>
        </w:rPr>
        <w:t xml:space="preserve">The formal fairness assessment produced the following findings:</w:t>
      </w:r>
    </w:p>
    <w:p>
      <w:pPr>
        <w:pStyle w:val="Heading3"/>
        <w:spacing w:before="180" w:after="60"/>
      </w:pPr>
      <w:r>
        <w:rPr>
          <w:rFonts w:ascii="Arial" w:cs="Arial" w:eastAsia="Arial" w:hAnsi="Arial"/>
          <w:b/>
          <w:bCs/>
          <w:color w:val="52796F"/>
          <w:sz w:val="24"/>
          <w:szCs w:val="24"/>
        </w:rPr>
        <w:t xml:space="preserve">Equalized Odds</w:t>
      </w:r>
    </w:p>
    <w:p>
      <w:pPr>
        <w:spacing w:after="120" w:line="276" w:lineRule="auto"/>
      </w:pPr>
      <w:r>
        <w:rPr>
          <w:rFonts w:ascii="Times New Roman" w:cs="Times New Roman" w:eastAsia="Times New Roman" w:hAnsi="Times New Roman"/>
          <w:sz w:val="22"/>
          <w:szCs w:val="22"/>
        </w:rPr>
        <w:t xml:space="preserve">Non-Hispanic Black patients fail equalized odds on both TPR (0.735 vs overall 0.873, gap = −0.138) and FPR (0.284 vs overall 0.198, gap = +0.086). This means the model is simultaneously less sensitive and less specific for Black patients — it misses more true cases and generates more false alarms relative to other groups.</w:t>
      </w:r>
    </w:p>
    <w:p>
      <w:pPr>
        <w:pStyle w:val="Heading3"/>
        <w:spacing w:before="180" w:after="60"/>
      </w:pPr>
      <w:r>
        <w:rPr>
          <w:rFonts w:ascii="Arial" w:cs="Arial" w:eastAsia="Arial" w:hAnsi="Arial"/>
          <w:b/>
          <w:bCs/>
          <w:color w:val="52796F"/>
          <w:sz w:val="24"/>
          <w:szCs w:val="24"/>
        </w:rPr>
        <w:t xml:space="preserve">Calibration</w:t>
      </w:r>
    </w:p>
    <w:p>
      <w:pPr>
        <w:spacing w:after="120" w:line="276" w:lineRule="auto"/>
      </w:pPr>
      <w:r>
        <w:rPr>
          <w:rFonts w:ascii="Times New Roman" w:cs="Times New Roman" w:eastAsia="Times New Roman" w:hAnsi="Times New Roman"/>
          <w:sz w:val="22"/>
          <w:szCs w:val="22"/>
        </w:rPr>
        <w:t xml:space="preserve">The model shows moderate calibration overall, with Non-Hispanic Black patients exhibiting the most notable miscalibration: mean predicted probability for positive cases (0.521) underestimates the actual positive rate (0.612) in this subgroup. This suggests the model is systematically under-confident in its predictions for Black patients.</w:t>
      </w:r>
    </w:p>
    <w:p>
      <w:pPr>
        <w:pStyle w:val="Heading3"/>
        <w:spacing w:before="180" w:after="60"/>
      </w:pPr>
      <w:r>
        <w:rPr>
          <w:rFonts w:ascii="Arial" w:cs="Arial" w:eastAsia="Arial" w:hAnsi="Arial"/>
          <w:b/>
          <w:bCs/>
          <w:color w:val="52796F"/>
          <w:sz w:val="24"/>
          <w:szCs w:val="24"/>
        </w:rPr>
        <w:t xml:space="preserve">Disparate Impact Ratio</w:t>
      </w:r>
    </w:p>
    <w:p>
      <w:pPr>
        <w:spacing w:after="120" w:line="276" w:lineRule="auto"/>
      </w:pPr>
      <w:r>
        <w:rPr>
          <w:rFonts w:ascii="Times New Roman" w:cs="Times New Roman" w:eastAsia="Times New Roman" w:hAnsi="Times New Roman"/>
          <w:sz w:val="22"/>
          <w:szCs w:val="22"/>
        </w:rPr>
        <w:t xml:space="preserve">The Disparate Impact Ratio for Non-Hispanic Black patients is 0.847, which technically passes the four-fifths rule (DIR ≥ 0.80). This illustrates an important finding: a model can pass one fairness criterion while failing others. DIR focuses on prediction rates, whereas equalized odds reveals the more clinically meaningful disparity in error rates.</w:t>
      </w:r>
    </w:p>
    <w:p>
      <w:pPr>
        <w:pBdr>
          <w:left w:val="single" w:color="2D6A4F" w:sz="12" w:space="4"/>
        </w:pBdr>
        <w:shd w:fill="F0F4F1" w:val="clear"/>
        <w:spacing w:before="120" w:after="120"/>
        <w:ind w:left="360" w:right="360"/>
      </w:pPr>
      <w:r>
        <w:rPr>
          <w:rFonts w:ascii="Arial" w:cs="Arial" w:eastAsia="Arial" w:hAnsi="Arial"/>
          <w:b/>
          <w:bCs/>
          <w:color w:val="2D6A4F"/>
          <w:sz w:val="22"/>
          <w:szCs w:val="22"/>
        </w:rPr>
        <w:t xml:space="preserve">Key Finding: </w:t>
      </w:r>
      <w:r>
        <w:rPr>
          <w:rFonts w:ascii="Times New Roman" w:cs="Times New Roman" w:eastAsia="Times New Roman" w:hAnsi="Times New Roman"/>
          <w:color w:val="000000"/>
          <w:sz w:val="22"/>
          <w:szCs w:val="22"/>
        </w:rPr>
        <w:t xml:space="preserve">DIR passed for all groups while equalized odds and calibration showed significant violations. This demonstrates that no single fairness metric is sufficient — a comprehensive audit requires multiple complementary criteria.</w:t>
      </w:r>
    </w:p>
    <w:p>
      <w:pPr>
        <w:pStyle w:val="Heading2"/>
        <w:spacing w:before="240" w:after="80"/>
      </w:pPr>
      <w:r>
        <w:rPr>
          <w:rFonts w:ascii="Arial" w:cs="Arial" w:eastAsia="Arial" w:hAnsi="Arial"/>
          <w:b/>
          <w:bCs/>
          <w:color w:val="2D6A4F"/>
          <w:sz w:val="26"/>
          <w:szCs w:val="26"/>
        </w:rPr>
        <w:t xml:space="preserve">3.4 Bias Mitigation Results</w:t>
      </w:r>
    </w:p>
    <w:p>
      <w:pPr>
        <w:spacing w:after="120" w:line="276" w:lineRule="auto"/>
      </w:pPr>
      <w:r>
        <w:rPr>
          <w:rFonts w:ascii="Times New Roman" w:cs="Times New Roman" w:eastAsia="Times New Roman" w:hAnsi="Times New Roman"/>
          <w:sz w:val="22"/>
          <w:szCs w:val="22"/>
        </w:rPr>
        <w:t xml:space="preserve">Three mitigation strategies were evaluated against the baseline Non-Hispanic Black TPR of 0.588 (at threshold 0.5, pre-mitigation).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169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NHB TPR</w:t>
            </w:r>
          </w:p>
        </w:tc>
        <w:tc>
          <w:tcPr>
            <w:tcW w:type="dxa" w:w="169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NHB FPR</w:t>
            </w:r>
          </w:p>
        </w:tc>
        <w:tc>
          <w:tcPr>
            <w:tcW w:type="dxa" w:w="169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Overall AUC</w:t>
            </w:r>
          </w:p>
        </w:tc>
        <w:tc>
          <w:tcPr>
            <w:tcW w:type="dxa" w:w="169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Overall Recall</w:t>
            </w:r>
          </w:p>
        </w:tc>
      </w:tr>
      <w:tr>
        <w:tc>
          <w:tcPr>
            <w:tcW w:type="dxa" w:w="26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Baseline (no mitigation)</w:t>
            </w:r>
          </w:p>
        </w:tc>
        <w:tc>
          <w:tcPr>
            <w:tcW w:type="dxa" w:w="169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0.588</w:t>
            </w:r>
          </w:p>
        </w:tc>
        <w:tc>
          <w:tcPr>
            <w:tcW w:type="dxa" w:w="169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0.221</w:t>
            </w:r>
          </w:p>
        </w:tc>
        <w:tc>
          <w:tcPr>
            <w:tcW w:type="dxa" w:w="169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0.7284</w:t>
            </w:r>
          </w:p>
        </w:tc>
        <w:tc>
          <w:tcPr>
            <w:tcW w:type="dxa" w:w="169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0.8731</w:t>
            </w:r>
          </w:p>
        </w:tc>
      </w:tr>
      <w:tr>
        <w:tc>
          <w:tcPr>
            <w:tcW w:type="dxa" w:w="26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Strategy 1: SMOTE</w:t>
            </w:r>
          </w:p>
        </w:tc>
        <w:tc>
          <w:tcPr>
            <w:tcW w:type="dxa" w:w="169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0.706</w:t>
            </w:r>
          </w:p>
        </w:tc>
        <w:tc>
          <w:tcPr>
            <w:tcW w:type="dxa" w:w="169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0.298</w:t>
            </w:r>
          </w:p>
        </w:tc>
        <w:tc>
          <w:tcPr>
            <w:tcW w:type="dxa" w:w="169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0.7066</w:t>
            </w:r>
          </w:p>
        </w:tc>
        <w:tc>
          <w:tcPr>
            <w:tcW w:type="dxa" w:w="169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0.8512</w:t>
            </w:r>
          </w:p>
        </w:tc>
      </w:tr>
      <w:tr>
        <w:tc>
          <w:tcPr>
            <w:tcW w:type="dxa" w:w="26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Strategy 2: Class Weight (selected)</w:t>
            </w:r>
          </w:p>
        </w:tc>
        <w:tc>
          <w:tcPr>
            <w:tcW w:type="dxa" w:w="169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0.765</w:t>
            </w:r>
          </w:p>
        </w:tc>
        <w:tc>
          <w:tcPr>
            <w:tcW w:type="dxa" w:w="169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0.312</w:t>
            </w:r>
          </w:p>
        </w:tc>
        <w:tc>
          <w:tcPr>
            <w:tcW w:type="dxa" w:w="169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0.7196</w:t>
            </w:r>
          </w:p>
        </w:tc>
        <w:tc>
          <w:tcPr>
            <w:tcW w:type="dxa" w:w="169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0.8274</w:t>
            </w:r>
          </w:p>
        </w:tc>
      </w:tr>
      <w:tr>
        <w:tc>
          <w:tcPr>
            <w:tcW w:type="dxa" w:w="26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Strategy 3: Threshold (0.3)</w:t>
            </w:r>
          </w:p>
        </w:tc>
        <w:tc>
          <w:tcPr>
            <w:tcW w:type="dxa" w:w="169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0.794</w:t>
            </w:r>
          </w:p>
        </w:tc>
        <w:tc>
          <w:tcPr>
            <w:tcW w:type="dxa" w:w="169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0.584</w:t>
            </w:r>
          </w:p>
        </w:tc>
        <w:tc>
          <w:tcPr>
            <w:tcW w:type="dxa" w:w="169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0.7284</w:t>
            </w:r>
          </w:p>
        </w:tc>
        <w:tc>
          <w:tcPr>
            <w:tcW w:type="dxa" w:w="169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bl>
    <w:p>
      <w:pPr>
        <w:spacing w:after="160"/>
        <w:jc w:val="center"/>
      </w:pPr>
      <w:r>
        <w:rPr>
          <w:rFonts w:ascii="Times New Roman" w:cs="Times New Roman" w:eastAsia="Times New Roman" w:hAnsi="Times New Roman"/>
          <w:i/>
          <w:iCs/>
          <w:color w:val="666666"/>
          <w:sz w:val="18"/>
          <w:szCs w:val="18"/>
        </w:rPr>
        <w:t xml:space="preserve">Table 3. Bias mitigation results. NHB = Non-Hispanic Black. Strategy 2 selected as optimal balance.</w:t>
      </w:r>
    </w:p>
    <w:p>
      <w:pPr>
        <w:spacing w:after="80"/>
      </w:pPr>
    </w:p>
    <w:p>
      <w:pPr>
        <w:pStyle w:val="Heading3"/>
        <w:spacing w:before="180" w:after="60"/>
      </w:pPr>
      <w:r>
        <w:rPr>
          <w:rFonts w:ascii="Arial" w:cs="Arial" w:eastAsia="Arial" w:hAnsi="Arial"/>
          <w:b/>
          <w:bCs/>
          <w:color w:val="52796F"/>
          <w:sz w:val="24"/>
          <w:szCs w:val="24"/>
        </w:rPr>
        <w:t xml:space="preserve">Strategy Selection Rationale</w:t>
      </w:r>
    </w:p>
    <w:p>
      <w:pPr>
        <w:spacing w:after="120" w:line="276" w:lineRule="auto"/>
      </w:pPr>
      <w:r>
        <w:rPr>
          <w:rFonts w:ascii="Times New Roman" w:cs="Times New Roman" w:eastAsia="Times New Roman" w:hAnsi="Times New Roman"/>
          <w:sz w:val="22"/>
          <w:szCs w:val="22"/>
        </w:rPr>
        <w:t xml:space="preserve">Strategy 2 (class weight adjustment) was selected as the recommended approach based on the following reasoning:</w:t>
      </w:r>
    </w:p>
    <w:p>
      <w:pPr>
        <w:pStyle w:val="ListParagraph"/>
        <w:numPr>
          <w:ilvl w:val="0"/>
          <w:numId w:val="2"/>
        </w:numPr>
        <w:spacing w:after="80"/>
      </w:pPr>
      <w:r>
        <w:rPr>
          <w:rFonts w:ascii="Times New Roman" w:cs="Times New Roman" w:eastAsia="Times New Roman" w:hAnsi="Times New Roman"/>
          <w:sz w:val="22"/>
          <w:szCs w:val="22"/>
        </w:rPr>
        <w:t xml:space="preserve">Largest improvement in NHB TPR (0.588 → 0.765, +0.177) without extreme FPR inflation</w:t>
      </w:r>
    </w:p>
    <w:p>
      <w:pPr>
        <w:pStyle w:val="ListParagraph"/>
        <w:numPr>
          <w:ilvl w:val="0"/>
          <w:numId w:val="2"/>
        </w:numPr>
        <w:spacing w:after="80"/>
      </w:pPr>
      <w:r>
        <w:rPr>
          <w:rFonts w:ascii="Times New Roman" w:cs="Times New Roman" w:eastAsia="Times New Roman" w:hAnsi="Times New Roman"/>
          <w:sz w:val="22"/>
          <w:szCs w:val="22"/>
        </w:rPr>
        <w:t xml:space="preserve">Overall AUC maintained at 0.7196 (−0.009 from baseline), a clinically acceptable tradeoff</w:t>
      </w:r>
    </w:p>
    <w:p>
      <w:pPr>
        <w:pStyle w:val="ListParagraph"/>
        <w:numPr>
          <w:ilvl w:val="0"/>
          <w:numId w:val="2"/>
        </w:numPr>
        <w:spacing w:after="80"/>
      </w:pPr>
      <w:r>
        <w:rPr>
          <w:rFonts w:ascii="Times New Roman" w:cs="Times New Roman" w:eastAsia="Times New Roman" w:hAnsi="Times New Roman"/>
          <w:sz w:val="22"/>
          <w:szCs w:val="22"/>
        </w:rPr>
        <w:t xml:space="preserve">Mechanism is transparent and interpretable — a reweighted loss function, not a post-hoc correction</w:t>
      </w:r>
    </w:p>
    <w:p>
      <w:pPr>
        <w:pStyle w:val="ListParagraph"/>
        <w:numPr>
          <w:ilvl w:val="0"/>
          <w:numId w:val="2"/>
        </w:numPr>
        <w:spacing w:after="80"/>
      </w:pPr>
      <w:r>
        <w:rPr>
          <w:rFonts w:ascii="Times New Roman" w:cs="Times New Roman" w:eastAsia="Times New Roman" w:hAnsi="Times New Roman"/>
          <w:sz w:val="22"/>
          <w:szCs w:val="22"/>
        </w:rPr>
        <w:t xml:space="preserve">Strategy 3 achieved the highest NHB TPR (0.794) but at an ethically problematic cost: NHB FPR of 0.584 means more than half of normotensive Black patients would be incorrectly classified as hypertensive, potentially leading to unnecessary treatment and eroding patient trust</w:t>
      </w:r>
    </w:p>
    <w:p>
      <w:pPr>
        <w:spacing w:after="80"/>
      </w:pPr>
    </w:p>
    <w:p>
      <w:pPr>
        <w:pBdr>
          <w:left w:val="single" w:color="2D6A4F" w:sz="12" w:space="4"/>
        </w:pBdr>
        <w:shd w:fill="F0F4F1" w:val="clear"/>
        <w:spacing w:before="120" w:after="120"/>
        <w:ind w:left="360" w:right="360"/>
      </w:pPr>
      <w:r>
        <w:rPr>
          <w:rFonts w:ascii="Arial" w:cs="Arial" w:eastAsia="Arial" w:hAnsi="Arial"/>
          <w:b/>
          <w:bCs/>
          <w:color w:val="2D6A4F"/>
          <w:sz w:val="22"/>
          <w:szCs w:val="22"/>
        </w:rPr>
        <w:t xml:space="preserve">Core Insight: </w:t>
      </w:r>
      <w:r>
        <w:rPr>
          <w:rFonts w:ascii="Times New Roman" w:cs="Times New Roman" w:eastAsia="Times New Roman" w:hAnsi="Times New Roman"/>
          <w:color w:val="000000"/>
          <w:sz w:val="22"/>
          <w:szCs w:val="22"/>
        </w:rPr>
        <w:t xml:space="preserve">No strategy fully eliminated the demographic performance gap. All three approaches improved NHB TPR but introduced tradeoffs — in overall accuracy, false positive rates, or both. This confirms the fundamental tension in fairness-aware ML: improving equality of outcomes for underserved groups typically requires accepting some reduction in aggregate performance.</w:t>
      </w:r>
    </w:p>
    <w:p>
      <w:pPr>
        <w:spacing w:after="0"/>
      </w:pPr>
      <w:r>
        <w:br w:type="page"/>
      </w:r>
    </w:p>
    <w:p>
      <w:pPr>
        <w:pStyle w:val="Heading1"/>
        <w:pBdr>
          <w:bottom w:val="single" w:color="2D6A4F" w:sz="6" w:space="1"/>
        </w:pBdr>
        <w:spacing w:before="360" w:after="160"/>
      </w:pPr>
      <w:r>
        <w:rPr>
          <w:rFonts w:ascii="Arial" w:cs="Arial" w:eastAsia="Arial" w:hAnsi="Arial"/>
          <w:b/>
          <w:bCs/>
          <w:color w:val="2D6A4F"/>
          <w:sz w:val="32"/>
          <w:szCs w:val="32"/>
        </w:rPr>
        <w:t xml:space="preserve">4. Discussion</w:t>
      </w:r>
    </w:p>
    <w:p>
      <w:pPr>
        <w:pStyle w:val="Heading2"/>
        <w:spacing w:before="240" w:after="80"/>
      </w:pPr>
      <w:r>
        <w:rPr>
          <w:rFonts w:ascii="Arial" w:cs="Arial" w:eastAsia="Arial" w:hAnsi="Arial"/>
          <w:b/>
          <w:bCs/>
          <w:color w:val="2D6A4F"/>
          <w:sz w:val="26"/>
          <w:szCs w:val="26"/>
        </w:rPr>
        <w:t xml:space="preserve">4.1 Why Does Non-Hispanic Black Performance Lag?</w:t>
      </w:r>
    </w:p>
    <w:p>
      <w:pPr>
        <w:spacing w:after="120" w:line="276" w:lineRule="auto"/>
      </w:pPr>
      <w:r>
        <w:rPr>
          <w:rFonts w:ascii="Times New Roman" w:cs="Times New Roman" w:eastAsia="Times New Roman" w:hAnsi="Times New Roman"/>
          <w:sz w:val="22"/>
          <w:szCs w:val="22"/>
        </w:rPr>
        <w:t xml:space="preserve">The persistent underperformance for Non-Hispanic Black patients likely reflects multiple interacting factors:</w:t>
      </w:r>
    </w:p>
    <w:p>
      <w:pPr>
        <w:pStyle w:val="Heading3"/>
        <w:spacing w:before="180" w:after="60"/>
      </w:pPr>
      <w:r>
        <w:rPr>
          <w:rFonts w:ascii="Arial" w:cs="Arial" w:eastAsia="Arial" w:hAnsi="Arial"/>
          <w:b/>
          <w:bCs/>
          <w:color w:val="52796F"/>
          <w:sz w:val="24"/>
          <w:szCs w:val="24"/>
        </w:rPr>
        <w:t xml:space="preserve">Structural Data Underrepresentation</w:t>
      </w:r>
    </w:p>
    <w:p>
      <w:pPr>
        <w:spacing w:after="120" w:line="276" w:lineRule="auto"/>
      </w:pPr>
      <w:r>
        <w:rPr>
          <w:rFonts w:ascii="Times New Roman" w:cs="Times New Roman" w:eastAsia="Times New Roman" w:hAnsi="Times New Roman"/>
          <w:sz w:val="22"/>
          <w:szCs w:val="22"/>
        </w:rPr>
        <w:t xml:space="preserve">Although NHANES uses stratified sampling to ensure demographic representation, Black participants represent approximately 21% of the test set. More importantly, the feature set — predominantly demographic, anthropometric, and blood pressure measurements — may not adequately capture the clinical risk factors that are differentially predictive for Black patients. Conditions such as masked hypertension, white coat hypertension, and salt sensitivity show different prevalences and patterns across ethnic groups, and none of these are captured in the NHANES variables available.</w:t>
      </w:r>
    </w:p>
    <w:p>
      <w:pPr>
        <w:pStyle w:val="Heading3"/>
        <w:spacing w:before="180" w:after="60"/>
      </w:pPr>
      <w:r>
        <w:rPr>
          <w:rFonts w:ascii="Arial" w:cs="Arial" w:eastAsia="Arial" w:hAnsi="Arial"/>
          <w:b/>
          <w:bCs/>
          <w:color w:val="52796F"/>
          <w:sz w:val="24"/>
          <w:szCs w:val="24"/>
        </w:rPr>
        <w:t xml:space="preserve">Historical Measurement Bias</w:t>
      </w:r>
    </w:p>
    <w:p>
      <w:pPr>
        <w:spacing w:after="120" w:line="276" w:lineRule="auto"/>
      </w:pPr>
      <w:r>
        <w:rPr>
          <w:rFonts w:ascii="Times New Roman" w:cs="Times New Roman" w:eastAsia="Times New Roman" w:hAnsi="Times New Roman"/>
          <w:sz w:val="22"/>
          <w:szCs w:val="22"/>
        </w:rPr>
        <w:t xml:space="preserve">Blood pressure measurement itself has known racial disparities: pulse oximetry and certain other physiological measurement devices have documented accuracy differences across skin tones. While standard sphygmomanometric blood pressure measurement is not known to have similar issues, the clinical interpretation of borderline values may be influenced by clinician bias in ways that percolate into recorded data.</w:t>
      </w:r>
    </w:p>
    <w:p>
      <w:pPr>
        <w:pStyle w:val="Heading3"/>
        <w:spacing w:before="180" w:after="60"/>
      </w:pPr>
      <w:r>
        <w:rPr>
          <w:rFonts w:ascii="Arial" w:cs="Arial" w:eastAsia="Arial" w:hAnsi="Arial"/>
          <w:b/>
          <w:bCs/>
          <w:color w:val="52796F"/>
          <w:sz w:val="24"/>
          <w:szCs w:val="24"/>
        </w:rPr>
        <w:t xml:space="preserve">Socioeconomic Confounding</w:t>
      </w:r>
    </w:p>
    <w:p>
      <w:pPr>
        <w:spacing w:after="120" w:line="276" w:lineRule="auto"/>
      </w:pPr>
      <w:r>
        <w:rPr>
          <w:rFonts w:ascii="Times New Roman" w:cs="Times New Roman" w:eastAsia="Times New Roman" w:hAnsi="Times New Roman"/>
          <w:sz w:val="22"/>
          <w:szCs w:val="22"/>
        </w:rPr>
        <w:t xml:space="preserve">The poverty income ratio is included as a feature, but it is a coarse proxy for the complex socioeconomic circumstances that influence both hypertension risk and healthcare access. Black patients in the NHANES dataset are overrepresented in lower poverty income ratio quartiles, and socioeconomic factors interact with hypertension biology in ways the model may not adequately disentangle.</w:t>
      </w:r>
    </w:p>
    <w:p>
      <w:pPr>
        <w:pStyle w:val="Heading2"/>
        <w:spacing w:before="240" w:after="80"/>
      </w:pPr>
      <w:r>
        <w:rPr>
          <w:rFonts w:ascii="Arial" w:cs="Arial" w:eastAsia="Arial" w:hAnsi="Arial"/>
          <w:b/>
          <w:bCs/>
          <w:color w:val="2D6A4F"/>
          <w:sz w:val="26"/>
          <w:szCs w:val="26"/>
        </w:rPr>
        <w:t xml:space="preserve">4.2 The Fairness-Accuracy Tradeoff</w:t>
      </w:r>
    </w:p>
    <w:p>
      <w:pPr>
        <w:spacing w:after="120" w:line="276" w:lineRule="auto"/>
      </w:pPr>
      <w:r>
        <w:rPr>
          <w:rFonts w:ascii="Times New Roman" w:cs="Times New Roman" w:eastAsia="Times New Roman" w:hAnsi="Times New Roman"/>
          <w:sz w:val="22"/>
          <w:szCs w:val="22"/>
        </w:rPr>
        <w:t xml:space="preserve">The mitigation experiments confirm a finding that is well-established in the fairness literature: improving subgroup performance typically comes at some cost to overall aggregate performance. This is not merely a technical constraint — it reflects a genuine ethical tension.</w:t>
      </w:r>
    </w:p>
    <w:p>
      <w:pPr>
        <w:spacing w:after="120" w:line="276" w:lineRule="auto"/>
      </w:pPr>
      <w:r>
        <w:rPr>
          <w:rFonts w:ascii="Times New Roman" w:cs="Times New Roman" w:eastAsia="Times New Roman" w:hAnsi="Times New Roman"/>
          <w:sz w:val="22"/>
          <w:szCs w:val="22"/>
        </w:rPr>
        <w:t xml:space="preserve">A model that optimises for overall AUC is implicitly treating all prediction errors as equally costly regardless of who experiences them. In a healthcare context, this means that if a group is harder to classify accurately — perhaps because they are underrepresented in training data or have atypical feature distributions — the model will naturally deprioritise them in favour of better-represented groups. Accepting a small AUC reduction (0.7284 → 0.7196) to substantially improve TPR for the most underserved group (0.588 → 0.765) represents a deliberate ethical choice that any clinical deployment should make explicitly rather than leaving to default optimisation behaviour.</w:t>
      </w:r>
    </w:p>
    <w:p>
      <w:pPr>
        <w:pStyle w:val="Heading2"/>
        <w:spacing w:before="240" w:after="80"/>
      </w:pPr>
      <w:r>
        <w:rPr>
          <w:rFonts w:ascii="Arial" w:cs="Arial" w:eastAsia="Arial" w:hAnsi="Arial"/>
          <w:b/>
          <w:bCs/>
          <w:color w:val="2D6A4F"/>
          <w:sz w:val="26"/>
          <w:szCs w:val="26"/>
        </w:rPr>
        <w:t xml:space="preserve">4.3 Limitations</w:t>
      </w:r>
    </w:p>
    <w:p>
      <w:pPr>
        <w:spacing w:after="120" w:line="276" w:lineRule="auto"/>
      </w:pPr>
      <w:r>
        <w:rPr>
          <w:rFonts w:ascii="Times New Roman" w:cs="Times New Roman" w:eastAsia="Times New Roman" w:hAnsi="Times New Roman"/>
          <w:sz w:val="22"/>
          <w:szCs w:val="22"/>
        </w:rPr>
        <w:t xml:space="preserve">This project has several important limitations that must be acknowledged:</w:t>
      </w:r>
    </w:p>
    <w:p>
      <w:pPr>
        <w:pStyle w:val="ListParagraph"/>
        <w:numPr>
          <w:ilvl w:val="0"/>
          <w:numId w:val="2"/>
        </w:numPr>
        <w:spacing w:after="80"/>
      </w:pPr>
      <w:r>
        <w:rPr>
          <w:rFonts w:ascii="Times New Roman" w:cs="Times New Roman" w:eastAsia="Times New Roman" w:hAnsi="Times New Roman"/>
          <w:sz w:val="22"/>
          <w:szCs w:val="22"/>
        </w:rPr>
        <w:t xml:space="preserve">Cross-sectional data: NHANES provides a single time-point measurement. Hypertension is a dynamic condition, and a longitudinal dataset would provide stronger evidence for any prediction model.</w:t>
      </w:r>
    </w:p>
    <w:p>
      <w:pPr>
        <w:pStyle w:val="ListParagraph"/>
        <w:numPr>
          <w:ilvl w:val="0"/>
          <w:numId w:val="2"/>
        </w:numPr>
        <w:spacing w:after="80"/>
      </w:pPr>
      <w:r>
        <w:rPr>
          <w:rFonts w:ascii="Times New Roman" w:cs="Times New Roman" w:eastAsia="Times New Roman" w:hAnsi="Times New Roman"/>
          <w:sz w:val="22"/>
          <w:szCs w:val="22"/>
        </w:rPr>
        <w:t xml:space="preserve">Single US dataset: All findings are based on NHANES data from a specific 2017–2018 survey cycle. Performance may differ substantially on data from different time periods, geographic regions, or healthcare systems.</w:t>
      </w:r>
    </w:p>
    <w:p>
      <w:pPr>
        <w:pStyle w:val="ListParagraph"/>
        <w:numPr>
          <w:ilvl w:val="0"/>
          <w:numId w:val="2"/>
        </w:numPr>
        <w:spacing w:after="80"/>
      </w:pPr>
      <w:r>
        <w:rPr>
          <w:rFonts w:ascii="Times New Roman" w:cs="Times New Roman" w:eastAsia="Times New Roman" w:hAnsi="Times New Roman"/>
          <w:sz w:val="22"/>
          <w:szCs w:val="22"/>
        </w:rPr>
        <w:t xml:space="preserve">Simplified hypertension definition: The binary threshold (SBP ≥ 140 OR DBP ≥ 90) reflects JNC 7 guidelines, but current ACC/AHA 2017 guidelines define Stage 1 hypertension at SBP ≥ 130 or DBP ≥ 80. Using different thresholds would change both prevalence and model performance.</w:t>
      </w:r>
    </w:p>
    <w:p>
      <w:pPr>
        <w:pStyle w:val="ListParagraph"/>
        <w:numPr>
          <w:ilvl w:val="0"/>
          <w:numId w:val="2"/>
        </w:numPr>
        <w:spacing w:after="80"/>
      </w:pPr>
      <w:r>
        <w:rPr>
          <w:rFonts w:ascii="Times New Roman" w:cs="Times New Roman" w:eastAsia="Times New Roman" w:hAnsi="Times New Roman"/>
          <w:sz w:val="22"/>
          <w:szCs w:val="22"/>
        </w:rPr>
        <w:t xml:space="preserve">No clinical validation: This project uses statistical fairness metrics. Clinical validity — whether the model's predictions would actually improve patient outcomes in deployment — requires prospective validation that is beyond the scope of this work.</w:t>
      </w:r>
    </w:p>
    <w:p>
      <w:pPr>
        <w:pStyle w:val="ListParagraph"/>
        <w:numPr>
          <w:ilvl w:val="0"/>
          <w:numId w:val="2"/>
        </w:numPr>
        <w:spacing w:after="80"/>
      </w:pPr>
      <w:r>
        <w:rPr>
          <w:rFonts w:ascii="Times New Roman" w:cs="Times New Roman" w:eastAsia="Times New Roman" w:hAnsi="Times New Roman"/>
          <w:sz w:val="22"/>
          <w:szCs w:val="22"/>
        </w:rPr>
        <w:t xml:space="preserve">Mitigation strategies are not exhaustive: Three strategies were tested. In-processing approaches using formal fairness constraints (e.g., Fairlearn's ExponentiatedGradient) were not tested and may offer better tradeoff profiles.</w:t>
      </w:r>
    </w:p>
    <w:p>
      <w:pPr>
        <w:pStyle w:val="ListParagraph"/>
        <w:numPr>
          <w:ilvl w:val="0"/>
          <w:numId w:val="2"/>
        </w:numPr>
        <w:spacing w:after="80"/>
      </w:pPr>
      <w:r>
        <w:rPr>
          <w:rFonts w:ascii="Times New Roman" w:cs="Times New Roman" w:eastAsia="Times New Roman" w:hAnsi="Times New Roman"/>
          <w:sz w:val="22"/>
          <w:szCs w:val="22"/>
        </w:rPr>
        <w:t xml:space="preserve">Singapore analysis is desk-based: The Singapore transferability analysis relies on published statistics and does not use any Singapore clinical dataset. Its conclusions are therefore necessarily speculative and should be treated as hypothesis-generating rather than confirmatory.</w:t>
      </w:r>
    </w:p>
    <w:p>
      <w:pPr>
        <w:spacing w:after="0"/>
      </w:pPr>
      <w:r>
        <w:br w:type="page"/>
      </w:r>
    </w:p>
    <w:p>
      <w:pPr>
        <w:pStyle w:val="Heading1"/>
        <w:pBdr>
          <w:bottom w:val="single" w:color="2D6A4F" w:sz="6" w:space="1"/>
        </w:pBdr>
        <w:spacing w:before="360" w:after="160"/>
      </w:pPr>
      <w:r>
        <w:rPr>
          <w:rFonts w:ascii="Arial" w:cs="Arial" w:eastAsia="Arial" w:hAnsi="Arial"/>
          <w:b/>
          <w:bCs/>
          <w:color w:val="2D6A4F"/>
          <w:sz w:val="32"/>
          <w:szCs w:val="32"/>
        </w:rPr>
        <w:t xml:space="preserve">5. Singapore Transferability Analysis</w:t>
      </w:r>
    </w:p>
    <w:p>
      <w:pPr>
        <w:pStyle w:val="Heading2"/>
        <w:spacing w:before="240" w:after="80"/>
      </w:pPr>
      <w:r>
        <w:rPr>
          <w:rFonts w:ascii="Arial" w:cs="Arial" w:eastAsia="Arial" w:hAnsi="Arial"/>
          <w:b/>
          <w:bCs/>
          <w:color w:val="2D6A4F"/>
          <w:sz w:val="26"/>
          <w:szCs w:val="26"/>
        </w:rPr>
        <w:t xml:space="preserve">5.1 Overview</w:t>
      </w:r>
    </w:p>
    <w:p>
      <w:pPr>
        <w:spacing w:after="120" w:line="276" w:lineRule="auto"/>
      </w:pPr>
      <w:r>
        <w:rPr>
          <w:rFonts w:ascii="Times New Roman" w:cs="Times New Roman" w:eastAsia="Times New Roman" w:hAnsi="Times New Roman"/>
          <w:sz w:val="22"/>
          <w:szCs w:val="22"/>
        </w:rPr>
        <w:t xml:space="preserve">The EquiScreen pipeline was developed on US NHANES data, reflecting the demographic categories and healthcare context of the United States. This section examines the question: would the bias patterns identified in this audit likely manifest if a similar model were deployed in Singapore?</w:t>
      </w:r>
    </w:p>
    <w:p>
      <w:pPr>
        <w:spacing w:after="120" w:line="276" w:lineRule="auto"/>
      </w:pPr>
      <w:r>
        <w:rPr>
          <w:rFonts w:ascii="Times New Roman" w:cs="Times New Roman" w:eastAsia="Times New Roman" w:hAnsi="Times New Roman"/>
          <w:sz w:val="22"/>
          <w:szCs w:val="22"/>
        </w:rPr>
        <w:t xml:space="preserve">This is not a trivial question. Singapore's population is structurally different from the US in ways that affect both the nature of bias risk and the appropriate audit methodology. Understanding this domain shift is a prerequisite for responsible clinical AI deployment in Singapore.</w:t>
      </w:r>
    </w:p>
    <w:p>
      <w:pPr>
        <w:pStyle w:val="Heading2"/>
        <w:spacing w:before="240" w:after="80"/>
      </w:pPr>
      <w:r>
        <w:rPr>
          <w:rFonts w:ascii="Arial" w:cs="Arial" w:eastAsia="Arial" w:hAnsi="Arial"/>
          <w:b/>
          <w:bCs/>
          <w:color w:val="2D6A4F"/>
          <w:sz w:val="26"/>
          <w:szCs w:val="26"/>
        </w:rPr>
        <w:t xml:space="preserve">5.2 Demographic Domain Shift</w:t>
      </w:r>
    </w:p>
    <w:p>
      <w:pPr>
        <w:spacing w:after="120" w:line="276" w:lineRule="auto"/>
      </w:pPr>
      <w:r>
        <w:rPr>
          <w:rFonts w:ascii="Times New Roman" w:cs="Times New Roman" w:eastAsia="Times New Roman" w:hAnsi="Times New Roman"/>
          <w:sz w:val="22"/>
          <w:szCs w:val="22"/>
        </w:rPr>
        <w:t xml:space="preserve">The US census and NHANES use a race/ethnicity taxonomy of Non-Hispanic White, Non-Hispanic Black, Hispanic, Asian, and other groups. Singapore uses the CMIO (Chinese, Malay, Indian, Other) model, a distinct classification system reflecting Singapore's colonial history and demographic composition.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312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 (NHANES)</w:t>
            </w:r>
          </w:p>
        </w:tc>
        <w:tc>
          <w:tcPr>
            <w:tcW w:type="dxa" w:w="312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Singapore (SingStat 2020)</w:t>
            </w:r>
          </w:p>
        </w:tc>
      </w:tr>
      <w:tr>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Largest ethnic group</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Non-Hispanic White (~60%)</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Chinese (~74%)</w:t>
            </w:r>
          </w:p>
        </w:tc>
      </w:tr>
      <w:tr>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Second group</w:t>
            </w:r>
          </w:p>
        </w:tc>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Hispanic (~19%)</w:t>
            </w:r>
          </w:p>
        </w:tc>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Malay (~13%)</w:t>
            </w:r>
          </w:p>
        </w:tc>
      </w:tr>
      <w:tr>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Third group</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Non-Hispanic Black (~13%)</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Indian (~9%)</w:t>
            </w:r>
          </w:p>
        </w:tc>
      </w:tr>
      <w:tr>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Hypertension prevalence</w:t>
            </w:r>
          </w:p>
        </w:tc>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~32% (adults)</w:t>
            </w:r>
          </w:p>
        </w:tc>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~35% (adults, MOH 2020)</w:t>
            </w:r>
          </w:p>
        </w:tc>
      </w:tr>
      <w:tr>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Healthcare system</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Multi-payer (fragmented)</w:t>
            </w:r>
          </w:p>
        </w:tc>
        <w:tc>
          <w:tcPr>
            <w:tcW w:type="dxa" w:w="31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Mixed public-private (Medisave)</w:t>
            </w:r>
          </w:p>
        </w:tc>
      </w:tr>
      <w:tr>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EHR standardisation</w:t>
            </w:r>
          </w:p>
        </w:tc>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Variable across systems</w:t>
            </w:r>
          </w:p>
        </w:tc>
        <w:tc>
          <w:tcPr>
            <w:tcW w:type="dxa" w:w="31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NEHR (centralised)</w:t>
            </w:r>
          </w:p>
        </w:tc>
      </w:tr>
    </w:tbl>
    <w:p>
      <w:pPr>
        <w:spacing w:after="160"/>
        <w:jc w:val="center"/>
      </w:pPr>
      <w:r>
        <w:rPr>
          <w:rFonts w:ascii="Times New Roman" w:cs="Times New Roman" w:eastAsia="Times New Roman" w:hAnsi="Times New Roman"/>
          <w:i/>
          <w:iCs/>
          <w:color w:val="666666"/>
          <w:sz w:val="18"/>
          <w:szCs w:val="18"/>
        </w:rPr>
        <w:t xml:space="preserve">Table 4. US vs Singapore demographic and healthcare context comparison.</w:t>
      </w:r>
    </w:p>
    <w:p>
      <w:pPr>
        <w:spacing w:after="80"/>
      </w:pPr>
    </w:p>
    <w:p>
      <w:pPr>
        <w:pStyle w:val="Heading2"/>
        <w:spacing w:before="240" w:after="80"/>
      </w:pPr>
      <w:r>
        <w:rPr>
          <w:rFonts w:ascii="Arial" w:cs="Arial" w:eastAsia="Arial" w:hAnsi="Arial"/>
          <w:b/>
          <w:bCs/>
          <w:color w:val="2D6A4F"/>
          <w:sz w:val="26"/>
          <w:szCs w:val="26"/>
        </w:rPr>
        <w:t xml:space="preserve">5.3 Transferable Bias Risks</w:t>
      </w:r>
    </w:p>
    <w:p>
      <w:pPr>
        <w:spacing w:after="120" w:line="276" w:lineRule="auto"/>
      </w:pPr>
      <w:r>
        <w:rPr>
          <w:rFonts w:ascii="Times New Roman" w:cs="Times New Roman" w:eastAsia="Times New Roman" w:hAnsi="Times New Roman"/>
          <w:sz w:val="22"/>
          <w:szCs w:val="22"/>
        </w:rPr>
        <w:t xml:space="preserve">While the specific demographic categories do not map cleanly between the two contexts, several analogous bias risks are identifiable:</w:t>
      </w:r>
    </w:p>
    <w:p>
      <w:pPr>
        <w:pStyle w:val="Heading3"/>
        <w:spacing w:before="180" w:after="60"/>
      </w:pPr>
      <w:r>
        <w:rPr>
          <w:rFonts w:ascii="Arial" w:cs="Arial" w:eastAsia="Arial" w:hAnsi="Arial"/>
          <w:b/>
          <w:bCs/>
          <w:color w:val="52796F"/>
          <w:sz w:val="24"/>
          <w:szCs w:val="24"/>
        </w:rPr>
        <w:t xml:space="preserve">Malay Patients and Cardiovascular Risk</w:t>
      </w:r>
    </w:p>
    <w:p>
      <w:pPr>
        <w:spacing w:after="120" w:line="276" w:lineRule="auto"/>
      </w:pPr>
      <w:r>
        <w:rPr>
          <w:rFonts w:ascii="Times New Roman" w:cs="Times New Roman" w:eastAsia="Times New Roman" w:hAnsi="Times New Roman"/>
          <w:sz w:val="22"/>
          <w:szCs w:val="22"/>
        </w:rPr>
        <w:t xml:space="preserve">In Singapore, Malay patients have the highest age-standardised cardiovascular disease mortality rates of any CMIO group (MOH Singapore, 2022). They are also disproportionately represented in lower socioeconomic strata. These factors parallel the dynamics seen with Non-Hispanic Black patients in the US dataset — differential disease burden combined with socioeconomic disadvantage — suggesting that Malay patients would be a priority subgroup for fairness auditing in any Singapore hypertension prediction model.</w:t>
      </w:r>
    </w:p>
    <w:p>
      <w:pPr>
        <w:pStyle w:val="Heading3"/>
        <w:spacing w:before="180" w:after="60"/>
      </w:pPr>
      <w:r>
        <w:rPr>
          <w:rFonts w:ascii="Arial" w:cs="Arial" w:eastAsia="Arial" w:hAnsi="Arial"/>
          <w:b/>
          <w:bCs/>
          <w:color w:val="52796F"/>
          <w:sz w:val="24"/>
          <w:szCs w:val="24"/>
        </w:rPr>
        <w:t xml:space="preserve">Elderly Population</w:t>
      </w:r>
    </w:p>
    <w:p>
      <w:pPr>
        <w:spacing w:after="120" w:line="276" w:lineRule="auto"/>
      </w:pPr>
      <w:r>
        <w:rPr>
          <w:rFonts w:ascii="Times New Roman" w:cs="Times New Roman" w:eastAsia="Times New Roman" w:hAnsi="Times New Roman"/>
          <w:sz w:val="22"/>
          <w:szCs w:val="22"/>
        </w:rPr>
        <w:t xml:space="preserve">Singapore's population is rapidly ageing: by 2030, approximately 25% of Singapore residents are projected to be aged 65 and above (MOH, 2023). The EquiScreen audit found that patients aged 75+ showed the weakest model discrimination (AUC 0.619). This finding is likely to be at least partially generalisable, as elderly patients exhibit different blood pressure patterns, higher medication use, and greater comorbidity burden that complicates hypertension classification globally.</w:t>
      </w:r>
    </w:p>
    <w:p>
      <w:pPr>
        <w:pStyle w:val="Heading3"/>
        <w:spacing w:before="180" w:after="60"/>
      </w:pPr>
      <w:r>
        <w:rPr>
          <w:rFonts w:ascii="Arial" w:cs="Arial" w:eastAsia="Arial" w:hAnsi="Arial"/>
          <w:b/>
          <w:bCs/>
          <w:color w:val="52796F"/>
          <w:sz w:val="24"/>
          <w:szCs w:val="24"/>
        </w:rPr>
        <w:t xml:space="preserve">Socioeconomic Proxies</w:t>
      </w:r>
    </w:p>
    <w:p>
      <w:pPr>
        <w:spacing w:after="120" w:line="276" w:lineRule="auto"/>
      </w:pPr>
      <w:r>
        <w:rPr>
          <w:rFonts w:ascii="Times New Roman" w:cs="Times New Roman" w:eastAsia="Times New Roman" w:hAnsi="Times New Roman"/>
          <w:sz w:val="22"/>
          <w:szCs w:val="22"/>
        </w:rPr>
        <w:t xml:space="preserve">NHANES includes the poverty income ratio as a direct socioeconomic indicator. Singapore's National Electronic Health Record (NEHR) system likely captures Medisave account balances, subsidy class, and ward type — different proxies for socioeconomic status that would require different feature engineering but serve an analogous role in audit design.</w:t>
      </w:r>
    </w:p>
    <w:p>
      <w:pPr>
        <w:pStyle w:val="Heading2"/>
        <w:spacing w:before="240" w:after="80"/>
      </w:pPr>
      <w:r>
        <w:rPr>
          <w:rFonts w:ascii="Arial" w:cs="Arial" w:eastAsia="Arial" w:hAnsi="Arial"/>
          <w:b/>
          <w:bCs/>
          <w:color w:val="2D6A4F"/>
          <w:sz w:val="26"/>
          <w:szCs w:val="26"/>
        </w:rPr>
        <w:t xml:space="preserve">5.4 Non-Transferable Elements</w:t>
      </w:r>
    </w:p>
    <w:p>
      <w:pPr>
        <w:spacing w:after="120" w:line="276" w:lineRule="auto"/>
      </w:pPr>
      <w:r>
        <w:rPr>
          <w:rFonts w:ascii="Times New Roman" w:cs="Times New Roman" w:eastAsia="Times New Roman" w:hAnsi="Times New Roman"/>
          <w:sz w:val="22"/>
          <w:szCs w:val="22"/>
        </w:rPr>
        <w:t xml:space="preserve">Several aspects of the EquiScreen pipeline would require significant modification for Singapore deployment:</w:t>
      </w:r>
    </w:p>
    <w:p>
      <w:pPr>
        <w:pStyle w:val="ListParagraph"/>
        <w:numPr>
          <w:ilvl w:val="0"/>
          <w:numId w:val="2"/>
        </w:numPr>
        <w:spacing w:after="80"/>
      </w:pPr>
      <w:r>
        <w:rPr>
          <w:rFonts w:ascii="Times New Roman" w:cs="Times New Roman" w:eastAsia="Times New Roman" w:hAnsi="Times New Roman"/>
          <w:sz w:val="22"/>
          <w:szCs w:val="22"/>
        </w:rPr>
        <w:t xml:space="preserve">Ethnic category encoding: One-hot encoding of NHANES ethnicity categories (Non-Hispanic White, Black, etc.) cannot be applied to Singapore data. CMIO categories would require separate encoding, and the reference group choice has important implications for fairness metric interpretation.</w:t>
      </w:r>
    </w:p>
    <w:p>
      <w:pPr>
        <w:pStyle w:val="ListParagraph"/>
        <w:numPr>
          <w:ilvl w:val="0"/>
          <w:numId w:val="2"/>
        </w:numPr>
        <w:spacing w:after="80"/>
      </w:pPr>
      <w:r>
        <w:rPr>
          <w:rFonts w:ascii="Times New Roman" w:cs="Times New Roman" w:eastAsia="Times New Roman" w:hAnsi="Times New Roman"/>
          <w:sz w:val="22"/>
          <w:szCs w:val="22"/>
        </w:rPr>
        <w:t xml:space="preserve">Blood pressure measurement context: NHANES BP measurements are standardised research protocol readings. Clinical BP readings in Singapore's polyclinics may have higher variability due to white coat effect, time of day, and measurement technique, affecting model reliability differently.</w:t>
      </w:r>
    </w:p>
    <w:p>
      <w:pPr>
        <w:pStyle w:val="ListParagraph"/>
        <w:numPr>
          <w:ilvl w:val="0"/>
          <w:numId w:val="2"/>
        </w:numPr>
        <w:spacing w:after="80"/>
      </w:pPr>
      <w:r>
        <w:rPr>
          <w:rFonts w:ascii="Times New Roman" w:cs="Times New Roman" w:eastAsia="Times New Roman" w:hAnsi="Times New Roman"/>
          <w:sz w:val="22"/>
          <w:szCs w:val="22"/>
        </w:rPr>
        <w:t xml:space="preserve">Feature availability: NHANES variables (poverty income ratio, education level in US categories) would not be directly available from Singapore EHR data. Equivalent but non-identical variables would need to be identified.</w:t>
      </w:r>
    </w:p>
    <w:p>
      <w:pPr>
        <w:pStyle w:val="Heading2"/>
        <w:spacing w:before="240" w:after="80"/>
      </w:pPr>
      <w:r>
        <w:rPr>
          <w:rFonts w:ascii="Arial" w:cs="Arial" w:eastAsia="Arial" w:hAnsi="Arial"/>
          <w:b/>
          <w:bCs/>
          <w:color w:val="2D6A4F"/>
          <w:sz w:val="26"/>
          <w:szCs w:val="26"/>
        </w:rPr>
        <w:t xml:space="preserve">5.5 Recommendations for Singapore Deployment</w:t>
      </w:r>
    </w:p>
    <w:p>
      <w:pPr>
        <w:spacing w:after="120" w:line="276" w:lineRule="auto"/>
      </w:pPr>
      <w:r>
        <w:rPr>
          <w:rFonts w:ascii="Times New Roman" w:cs="Times New Roman" w:eastAsia="Times New Roman" w:hAnsi="Times New Roman"/>
          <w:sz w:val="22"/>
          <w:szCs w:val="22"/>
        </w:rPr>
        <w:t xml:space="preserve">If a hypertension prediction model were to be deployed in Singapore, this analysis suggests the following priorities:</w:t>
      </w:r>
    </w:p>
    <w:p>
      <w:pPr>
        <w:pStyle w:val="ListParagraph"/>
        <w:numPr>
          <w:ilvl w:val="0"/>
          <w:numId w:val="2"/>
        </w:numPr>
        <w:spacing w:after="80"/>
      </w:pPr>
      <w:r>
        <w:rPr>
          <w:rFonts w:ascii="Times New Roman" w:cs="Times New Roman" w:eastAsia="Times New Roman" w:hAnsi="Times New Roman"/>
          <w:sz w:val="22"/>
          <w:szCs w:val="22"/>
        </w:rPr>
        <w:t xml:space="preserve">Conduct the fairness audit stratified by CMIO group, with particular attention to Malay patients and patients aged 65+</w:t>
      </w:r>
    </w:p>
    <w:p>
      <w:pPr>
        <w:pStyle w:val="ListParagraph"/>
        <w:numPr>
          <w:ilvl w:val="0"/>
          <w:numId w:val="2"/>
        </w:numPr>
        <w:spacing w:after="80"/>
      </w:pPr>
      <w:r>
        <w:rPr>
          <w:rFonts w:ascii="Times New Roman" w:cs="Times New Roman" w:eastAsia="Times New Roman" w:hAnsi="Times New Roman"/>
          <w:sz w:val="22"/>
          <w:szCs w:val="22"/>
        </w:rPr>
        <w:t xml:space="preserve">Include socioeconomic proxies available in Singapore data (subsidy class, ward type, area-level deprivation indices) as features and audit covariates</w:t>
      </w:r>
    </w:p>
    <w:p>
      <w:pPr>
        <w:pStyle w:val="ListParagraph"/>
        <w:numPr>
          <w:ilvl w:val="0"/>
          <w:numId w:val="2"/>
        </w:numPr>
        <w:spacing w:after="80"/>
      </w:pPr>
      <w:r>
        <w:rPr>
          <w:rFonts w:ascii="Times New Roman" w:cs="Times New Roman" w:eastAsia="Times New Roman" w:hAnsi="Times New Roman"/>
          <w:sz w:val="22"/>
          <w:szCs w:val="22"/>
        </w:rPr>
        <w:t xml:space="preserve">Validate against Singapore clinical data before any deployment — the demographic domain shift is substantial enough that US-trained model performance should not be assumed to generalise</w:t>
      </w:r>
    </w:p>
    <w:p>
      <w:pPr>
        <w:pStyle w:val="ListParagraph"/>
        <w:numPr>
          <w:ilvl w:val="0"/>
          <w:numId w:val="2"/>
        </w:numPr>
        <w:spacing w:after="80"/>
      </w:pPr>
      <w:r>
        <w:rPr>
          <w:rFonts w:ascii="Times New Roman" w:cs="Times New Roman" w:eastAsia="Times New Roman" w:hAnsi="Times New Roman"/>
          <w:sz w:val="22"/>
          <w:szCs w:val="22"/>
        </w:rPr>
        <w:t xml:space="preserve">Apply the same multi-framework approach used in EquiScreen: no single fairness metric is sufficient, and equalized odds violations may not be captured by disparate impact ratios alone</w:t>
      </w:r>
    </w:p>
    <w:p>
      <w:pPr>
        <w:pBdr>
          <w:left w:val="single" w:color="2D6A4F" w:sz="12" w:space="4"/>
        </w:pBdr>
        <w:shd w:fill="F0F4F1" w:val="clear"/>
        <w:spacing w:before="120" w:after="120"/>
        <w:ind w:left="360" w:right="360"/>
      </w:pPr>
      <w:r>
        <w:rPr>
          <w:rFonts w:ascii="Arial" w:cs="Arial" w:eastAsia="Arial" w:hAnsi="Arial"/>
          <w:b/>
          <w:bCs/>
          <w:color w:val="2D6A4F"/>
          <w:sz w:val="22"/>
          <w:szCs w:val="22"/>
        </w:rPr>
        <w:t xml:space="preserve">Bottom Line: </w:t>
      </w:r>
      <w:r>
        <w:rPr>
          <w:rFonts w:ascii="Times New Roman" w:cs="Times New Roman" w:eastAsia="Times New Roman" w:hAnsi="Times New Roman"/>
          <w:color w:val="000000"/>
          <w:sz w:val="22"/>
          <w:szCs w:val="22"/>
        </w:rPr>
        <w:t xml:space="preserve">The specific bias patterns found in EquiScreen (particularly regarding Non-Hispanic Black patients) do not transfer directly to Singapore. However, the methodological framework — multi-metric audit, formal fairness criteria, mitigation experimentation, and demographic performance slicing — is directly applicable and represents a minimum standard for responsible clinical AI deployment in any context.</w:t>
      </w:r>
    </w:p>
    <w:p>
      <w:pPr>
        <w:spacing w:after="0"/>
      </w:pPr>
      <w:r>
        <w:br w:type="page"/>
      </w:r>
    </w:p>
    <w:p>
      <w:pPr>
        <w:pStyle w:val="Heading1"/>
        <w:pBdr>
          <w:bottom w:val="single" w:color="2D6A4F" w:sz="6" w:space="1"/>
        </w:pBdr>
        <w:spacing w:before="360" w:after="160"/>
      </w:pPr>
      <w:r>
        <w:rPr>
          <w:rFonts w:ascii="Arial" w:cs="Arial" w:eastAsia="Arial" w:hAnsi="Arial"/>
          <w:b/>
          <w:bCs/>
          <w:color w:val="2D6A4F"/>
          <w:sz w:val="32"/>
          <w:szCs w:val="32"/>
        </w:rPr>
        <w:t xml:space="preserve">6. Conclusions</w:t>
      </w:r>
    </w:p>
    <w:p>
      <w:pPr>
        <w:spacing w:after="120" w:line="276" w:lineRule="auto"/>
      </w:pPr>
      <w:r>
        <w:rPr>
          <w:rFonts w:ascii="Times New Roman" w:cs="Times New Roman" w:eastAsia="Times New Roman" w:hAnsi="Times New Roman"/>
          <w:sz w:val="22"/>
          <w:szCs w:val="22"/>
        </w:rPr>
        <w:t xml:space="preserve">EquiScreen demonstrates that demographic bias in clinical ML models is both detectable and quantifiable with standard tools and moderate effort. The key conclusions from this project are:</w:t>
      </w:r>
    </w:p>
    <w:p>
      <w:pPr>
        <w:spacing w:after="80"/>
      </w:pPr>
    </w:p>
    <w:p>
      <w:pPr>
        <w:pStyle w:val="ListParagraph"/>
        <w:numPr>
          <w:ilvl w:val="0"/>
          <w:numId w:val="2"/>
        </w:numPr>
        <w:spacing w:after="80"/>
      </w:pPr>
      <w:r>
        <w:rPr>
          <w:rFonts w:ascii="Times New Roman" w:cs="Times New Roman" w:eastAsia="Times New Roman" w:hAnsi="Times New Roman"/>
          <w:sz w:val="22"/>
          <w:szCs w:val="22"/>
        </w:rPr>
        <w:t xml:space="preserve">Aggregate metrics are insufficient: A model with overall AUC 0.7284 and recall 0.8731 harbours significant subgroup performance disparities. Non-Hispanic Black patients experience a 22-point TPR gap relative to the overall population — a clinically meaningful difference that aggregate metrics conceal.</w:t>
      </w:r>
    </w:p>
    <w:p>
      <w:pPr>
        <w:pStyle w:val="ListParagraph"/>
        <w:numPr>
          <w:ilvl w:val="0"/>
          <w:numId w:val="2"/>
        </w:numPr>
        <w:spacing w:after="80"/>
      </w:pPr>
      <w:r>
        <w:rPr>
          <w:rFonts w:ascii="Times New Roman" w:cs="Times New Roman" w:eastAsia="Times New Roman" w:hAnsi="Times New Roman"/>
          <w:sz w:val="22"/>
          <w:szCs w:val="22"/>
        </w:rPr>
        <w:t xml:space="preserve">Fairness frameworks are complementary, not substitutable: The Disparate Impact Ratio passed for all groups. Equalized odds and calibration revealed significant violations for the same groups. A robust audit requires multiple frameworks applied in combination.</w:t>
      </w:r>
    </w:p>
    <w:p>
      <w:pPr>
        <w:pStyle w:val="ListParagraph"/>
        <w:numPr>
          <w:ilvl w:val="0"/>
          <w:numId w:val="2"/>
        </w:numPr>
        <w:spacing w:after="80"/>
      </w:pPr>
      <w:r>
        <w:rPr>
          <w:rFonts w:ascii="Times New Roman" w:cs="Times New Roman" w:eastAsia="Times New Roman" w:hAnsi="Times New Roman"/>
          <w:sz w:val="22"/>
          <w:szCs w:val="22"/>
        </w:rPr>
        <w:t xml:space="preserve">No silver bullet for bias mitigation: All three mitigation strategies improved Non-Hispanic Black TPR. None eliminated the gap. Each introduced tradeoffs — in overall AUC, false positive rates, or both. The choice between strategies is ultimately an ethical decision about how to distribute errors across patient groups, not purely a technical optimisation problem.</w:t>
      </w:r>
    </w:p>
    <w:p>
      <w:pPr>
        <w:pStyle w:val="ListParagraph"/>
        <w:numPr>
          <w:ilvl w:val="0"/>
          <w:numId w:val="2"/>
        </w:numPr>
        <w:spacing w:after="80"/>
      </w:pPr>
      <w:r>
        <w:rPr>
          <w:rFonts w:ascii="Times New Roman" w:cs="Times New Roman" w:eastAsia="Times New Roman" w:hAnsi="Times New Roman"/>
          <w:sz w:val="22"/>
          <w:szCs w:val="22"/>
        </w:rPr>
        <w:t xml:space="preserve">Data leakage vigilance is non-negotiable: The project's most important methodological lesson is that seemingly reasonable engineered features (MAP, pulse pressure) can constitute direct label leakage. Removing them reduced AUC from 0.9997 to 0.7284 — a reduction that represents honest model performance rather than degradation.</w:t>
      </w:r>
    </w:p>
    <w:p>
      <w:pPr>
        <w:pStyle w:val="ListParagraph"/>
        <w:numPr>
          <w:ilvl w:val="0"/>
          <w:numId w:val="2"/>
        </w:numPr>
        <w:spacing w:after="80"/>
      </w:pPr>
      <w:r>
        <w:rPr>
          <w:rFonts w:ascii="Times New Roman" w:cs="Times New Roman" w:eastAsia="Times New Roman" w:hAnsi="Times New Roman"/>
          <w:sz w:val="22"/>
          <w:szCs w:val="22"/>
        </w:rPr>
        <w:t xml:space="preserve">Singapore transferability requires independent validation: The CMIO demographic model and Singapore's healthcare context are structurally different enough that US-derived bias patterns cannot be assumed to transfer. However, analogous risk groups exist (Malay patients, elderly patients, low SES groups) and the EquiScreen methodological framework is directly applicable.</w:t>
      </w:r>
    </w:p>
    <w:p>
      <w:pPr>
        <w:spacing w:after="80"/>
      </w:pPr>
    </w:p>
    <w:p>
      <w:pPr>
        <w:spacing w:after="120" w:line="276" w:lineRule="auto"/>
      </w:pPr>
      <w:r>
        <w:rPr>
          <w:rFonts w:ascii="Times New Roman" w:cs="Times New Roman" w:eastAsia="Times New Roman" w:hAnsi="Times New Roman"/>
          <w:sz w:val="22"/>
          <w:szCs w:val="22"/>
        </w:rPr>
        <w:t xml:space="preserve">The broader implication of this project is that fairness auditing should be a standard component of any clinical ML pipeline, not an optional enhancement. The tools are accessible, the frameworks are established, and the clinical stakes — ensuring that models serve all patient populations equitably — are too high to treat demographic performance as an afterthought.</w:t>
      </w:r>
    </w:p>
    <w:p>
      <w:pPr>
        <w:spacing w:after="0"/>
      </w:pPr>
      <w:r>
        <w:br w:type="page"/>
      </w:r>
    </w:p>
    <w:p>
      <w:pPr>
        <w:pStyle w:val="Heading1"/>
        <w:pBdr>
          <w:bottom w:val="single" w:color="2D6A4F" w:sz="6" w:space="1"/>
        </w:pBdr>
        <w:spacing w:before="360" w:after="160"/>
      </w:pPr>
      <w:r>
        <w:rPr>
          <w:rFonts w:ascii="Arial" w:cs="Arial" w:eastAsia="Arial" w:hAnsi="Arial"/>
          <w:b/>
          <w:bCs/>
          <w:color w:val="2D6A4F"/>
          <w:sz w:val="32"/>
          <w:szCs w:val="32"/>
        </w:rPr>
        <w:t xml:space="preserve">References</w:t>
      </w:r>
    </w:p>
    <w:p>
      <w:pPr>
        <w:spacing w:after="120" w:line="276" w:lineRule="auto"/>
      </w:pPr>
      <w:r>
        <w:rPr>
          <w:rFonts w:ascii="Times New Roman" w:cs="Times New Roman" w:eastAsia="Times New Roman" w:hAnsi="Times New Roman"/>
          <w:sz w:val="22"/>
          <w:szCs w:val="22"/>
        </w:rPr>
        <w:t xml:space="preserve">Centers for Disease Control and Prevention. (2020). National Health and Nutrition Examination Survey 2017–2018 data documentation, codebook, and frequencies. National Center for Health Statistics.</w:t>
      </w:r>
    </w:p>
    <w:p>
      <w:pPr>
        <w:spacing w:after="80"/>
      </w:pPr>
    </w:p>
    <w:p>
      <w:pPr>
        <w:spacing w:after="120" w:line="276" w:lineRule="auto"/>
      </w:pPr>
      <w:r>
        <w:rPr>
          <w:rFonts w:ascii="Times New Roman" w:cs="Times New Roman" w:eastAsia="Times New Roman" w:hAnsi="Times New Roman"/>
          <w:sz w:val="22"/>
          <w:szCs w:val="22"/>
        </w:rPr>
        <w:t xml:space="preserve">Chen, T., &amp; Guestrin, C. (2016). XGBoost: A scalable tree boosting system. Proceedings of the 22nd ACM SIGKDD International Conference on Knowledge Discovery and Data Mining, 785–794.</w:t>
      </w:r>
    </w:p>
    <w:p>
      <w:pPr>
        <w:spacing w:after="80"/>
      </w:pPr>
    </w:p>
    <w:p>
      <w:pPr>
        <w:spacing w:after="120" w:line="276" w:lineRule="auto"/>
      </w:pPr>
      <w:r>
        <w:rPr>
          <w:rFonts w:ascii="Times New Roman" w:cs="Times New Roman" w:eastAsia="Times New Roman" w:hAnsi="Times New Roman"/>
          <w:sz w:val="22"/>
          <w:szCs w:val="22"/>
        </w:rPr>
        <w:t xml:space="preserve">Chawla, N. V., Bowyer, K. W., Hall, L. O., &amp; Kegelmeyer, W. P. (2002). SMOTE: Synthetic minority over-sampling technique. Journal of Artificial Intelligence Research, 16, 321–357.</w:t>
      </w:r>
    </w:p>
    <w:p>
      <w:pPr>
        <w:spacing w:after="80"/>
      </w:pPr>
    </w:p>
    <w:p>
      <w:pPr>
        <w:spacing w:after="120" w:line="276" w:lineRule="auto"/>
      </w:pPr>
      <w:r>
        <w:rPr>
          <w:rFonts w:ascii="Times New Roman" w:cs="Times New Roman" w:eastAsia="Times New Roman" w:hAnsi="Times New Roman"/>
          <w:sz w:val="22"/>
          <w:szCs w:val="22"/>
        </w:rPr>
        <w:t xml:space="preserve">Dwork, C., Hardt, M., Pitassi, T., Reingold, O., &amp; Zemel, R. (2012). Fairness through awareness. Proceedings of the 3rd Innovations in Theoretical Computer Science Conference, 214–226.</w:t>
      </w:r>
    </w:p>
    <w:p>
      <w:pPr>
        <w:spacing w:after="80"/>
      </w:pPr>
    </w:p>
    <w:p>
      <w:pPr>
        <w:spacing w:after="120" w:line="276" w:lineRule="auto"/>
      </w:pPr>
      <w:r>
        <w:rPr>
          <w:rFonts w:ascii="Times New Roman" w:cs="Times New Roman" w:eastAsia="Times New Roman" w:hAnsi="Times New Roman"/>
          <w:sz w:val="22"/>
          <w:szCs w:val="22"/>
        </w:rPr>
        <w:t xml:space="preserve">Hardt, M., Price, E., &amp; Srebro, N. (2016). Equality of opportunity in supervised learning. Advances in Neural Information Processing Systems, 29.</w:t>
      </w:r>
    </w:p>
    <w:p>
      <w:pPr>
        <w:spacing w:after="80"/>
      </w:pPr>
    </w:p>
    <w:p>
      <w:pPr>
        <w:spacing w:after="120" w:line="276" w:lineRule="auto"/>
      </w:pPr>
      <w:r>
        <w:rPr>
          <w:rFonts w:ascii="Times New Roman" w:cs="Times New Roman" w:eastAsia="Times New Roman" w:hAnsi="Times New Roman"/>
          <w:sz w:val="22"/>
          <w:szCs w:val="22"/>
        </w:rPr>
        <w:t xml:space="preserve">Ministry of Health Singapore. (2020). National Population Health Survey 2020. Epidemiology &amp; Disease Control Division.</w:t>
      </w:r>
    </w:p>
    <w:p>
      <w:pPr>
        <w:spacing w:after="80"/>
      </w:pPr>
    </w:p>
    <w:p>
      <w:pPr>
        <w:spacing w:after="120" w:line="276" w:lineRule="auto"/>
      </w:pPr>
      <w:r>
        <w:rPr>
          <w:rFonts w:ascii="Times New Roman" w:cs="Times New Roman" w:eastAsia="Times New Roman" w:hAnsi="Times New Roman"/>
          <w:sz w:val="22"/>
          <w:szCs w:val="22"/>
        </w:rPr>
        <w:t xml:space="preserve">Ministry of Health Singapore. (2022). Singapore Burden of Disease Study 2017. MOH Information Paper 2022/01.</w:t>
      </w:r>
    </w:p>
    <w:p>
      <w:pPr>
        <w:spacing w:after="80"/>
      </w:pPr>
    </w:p>
    <w:p>
      <w:pPr>
        <w:spacing w:after="120" w:line="276" w:lineRule="auto"/>
      </w:pPr>
      <w:r>
        <w:rPr>
          <w:rFonts w:ascii="Times New Roman" w:cs="Times New Roman" w:eastAsia="Times New Roman" w:hAnsi="Times New Roman"/>
          <w:sz w:val="22"/>
          <w:szCs w:val="22"/>
        </w:rPr>
        <w:t xml:space="preserve">Obermeyer, Z., Powers, B., Vogeli, C., &amp; Mullainathan, S. (2019). Dissecting racial bias in an algorithm used to manage the health of populations. Science, 366(6464), 447–453.</w:t>
      </w:r>
    </w:p>
    <w:p>
      <w:pPr>
        <w:spacing w:after="80"/>
      </w:pPr>
    </w:p>
    <w:p>
      <w:pPr>
        <w:spacing w:after="120" w:line="276" w:lineRule="auto"/>
      </w:pPr>
      <w:r>
        <w:rPr>
          <w:rFonts w:ascii="Times New Roman" w:cs="Times New Roman" w:eastAsia="Times New Roman" w:hAnsi="Times New Roman"/>
          <w:sz w:val="22"/>
          <w:szCs w:val="22"/>
        </w:rPr>
        <w:t xml:space="preserve">Pedregosa, F., Varoquaux, G., Gramfort, A., Michel, V., Thirion, B., Grisel, O., ... &amp; Duchesnay, É. (2011). Scikit-learn: Machine learning in Python. Journal of Machine Learning Research, 12, 2825–2830.</w:t>
      </w:r>
    </w:p>
    <w:p>
      <w:pPr>
        <w:spacing w:after="80"/>
      </w:pPr>
    </w:p>
    <w:p>
      <w:pPr>
        <w:spacing w:after="120" w:line="276" w:lineRule="auto"/>
      </w:pPr>
      <w:r>
        <w:rPr>
          <w:rFonts w:ascii="Times New Roman" w:cs="Times New Roman" w:eastAsia="Times New Roman" w:hAnsi="Times New Roman"/>
          <w:sz w:val="22"/>
          <w:szCs w:val="22"/>
        </w:rPr>
        <w:t xml:space="preserve">Singapore Department of Statistics. (2021). Census of Population 2020: Statistical Release 1 — Demographic Characteristics, Education, Language and Religion. SingStat.</w:t>
      </w:r>
    </w:p>
    <w:p>
      <w:pPr>
        <w:spacing w:after="80"/>
      </w:pPr>
    </w:p>
    <w:p>
      <w:pPr>
        <w:spacing w:after="120" w:line="276" w:lineRule="auto"/>
      </w:pPr>
      <w:r>
        <w:rPr>
          <w:rFonts w:ascii="Times New Roman" w:cs="Times New Roman" w:eastAsia="Times New Roman" w:hAnsi="Times New Roman"/>
          <w:sz w:val="22"/>
          <w:szCs w:val="22"/>
        </w:rPr>
        <w:t xml:space="preserve">Whelton, P. K., Carey, R. M., Aronow, W. S., Casey Jr, D. E., Collins, K. J., &amp; others. (2018). 2017 ACC/AHA/AAPA/ABC/ACPM/AGS/APhA/ASH/ASPC/NMA/PCNA guideline for the prevention, detection, evaluation, and management of high blood pressure in adults. Journal of the American College of Cardiology, 71(19), e127–e248.</w:t>
      </w:r>
    </w:p>
    <w:p>
      <w:pPr>
        <w:spacing w:after="0"/>
      </w:pPr>
      <w:r>
        <w:br w:type="page"/>
      </w:r>
    </w:p>
    <w:p>
      <w:pPr>
        <w:pStyle w:val="Heading1"/>
        <w:pBdr>
          <w:bottom w:val="single" w:color="2D6A4F" w:sz="6" w:space="1"/>
        </w:pBdr>
        <w:spacing w:before="360" w:after="160"/>
      </w:pPr>
      <w:r>
        <w:rPr>
          <w:rFonts w:ascii="Arial" w:cs="Arial" w:eastAsia="Arial" w:hAnsi="Arial"/>
          <w:b/>
          <w:bCs/>
          <w:color w:val="2D6A4F"/>
          <w:sz w:val="32"/>
          <w:szCs w:val="32"/>
        </w:rPr>
        <w:t xml:space="preserve">Appendix: Project Technical Summary</w:t>
      </w:r>
    </w:p>
    <w:p>
      <w:pPr>
        <w:pStyle w:val="Heading2"/>
        <w:spacing w:before="240" w:after="80"/>
      </w:pPr>
      <w:r>
        <w:rPr>
          <w:rFonts w:ascii="Arial" w:cs="Arial" w:eastAsia="Arial" w:hAnsi="Arial"/>
          <w:b/>
          <w:bCs/>
          <w:color w:val="2D6A4F"/>
          <w:sz w:val="26"/>
          <w:szCs w:val="26"/>
        </w:rPr>
        <w:t xml:space="preserve">A.1 Pipeline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600"/>
        <w:gridCol w:w="2720"/>
      </w:tblGrid>
      <w:tr>
        <w:trPr>
          <w:tblHeader/>
        </w:trPr>
        <w:tc>
          <w:tcPr>
            <w:tcW w:type="dxa" w:w="144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260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260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Deliverable</w:t>
            </w:r>
          </w:p>
        </w:tc>
        <w:tc>
          <w:tcPr>
            <w:tcW w:type="dxa" w:w="272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44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1–2</w:t>
            </w:r>
          </w:p>
        </w:tc>
        <w:tc>
          <w:tcPr>
            <w:tcW w:type="dxa" w:w="26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Environment + EDA</w:t>
            </w:r>
          </w:p>
        </w:tc>
        <w:tc>
          <w:tcPr>
            <w:tcW w:type="dxa" w:w="26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NHANES merged dataset, 10+ plots</w:t>
            </w:r>
          </w:p>
        </w:tc>
        <w:tc>
          <w:tcPr>
            <w:tcW w:type="dxa" w:w="27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 Complete</w:t>
            </w:r>
          </w:p>
        </w:tc>
      </w:tr>
      <w:tr>
        <w:tc>
          <w:tcPr>
            <w:tcW w:type="dxa" w:w="144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26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Feature engineering</w:t>
            </w:r>
          </w:p>
        </w:tc>
        <w:tc>
          <w:tcPr>
            <w:tcW w:type="dxa" w:w="26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29-feature preprocessed dataset</w:t>
            </w:r>
          </w:p>
        </w:tc>
        <w:tc>
          <w:tcPr>
            <w:tcW w:type="dxa" w:w="27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 Complete</w:t>
            </w:r>
          </w:p>
        </w:tc>
      </w:tr>
      <w:tr>
        <w:tc>
          <w:tcPr>
            <w:tcW w:type="dxa" w:w="144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26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 baseline</w:t>
            </w:r>
          </w:p>
        </w:tc>
        <w:tc>
          <w:tcPr>
            <w:tcW w:type="dxa" w:w="26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LR model, AUC 0.689</w:t>
            </w:r>
          </w:p>
        </w:tc>
        <w:tc>
          <w:tcPr>
            <w:tcW w:type="dxa" w:w="27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 Complete</w:t>
            </w:r>
          </w:p>
        </w:tc>
      </w:tr>
      <w:tr>
        <w:tc>
          <w:tcPr>
            <w:tcW w:type="dxa" w:w="144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5–7</w:t>
            </w:r>
          </w:p>
        </w:tc>
        <w:tc>
          <w:tcPr>
            <w:tcW w:type="dxa" w:w="26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XGBoost + validation</w:t>
            </w:r>
          </w:p>
        </w:tc>
        <w:tc>
          <w:tcPr>
            <w:tcW w:type="dxa" w:w="26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Final model, AUC 0.7284</w:t>
            </w:r>
          </w:p>
        </w:tc>
        <w:tc>
          <w:tcPr>
            <w:tcW w:type="dxa" w:w="27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 Complete</w:t>
            </w:r>
          </w:p>
        </w:tc>
      </w:tr>
      <w:tr>
        <w:tc>
          <w:tcPr>
            <w:tcW w:type="dxa" w:w="144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8–9</w:t>
            </w:r>
          </w:p>
        </w:tc>
        <w:tc>
          <w:tcPr>
            <w:tcW w:type="dxa" w:w="26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Fairness audit</w:t>
            </w:r>
          </w:p>
        </w:tc>
        <w:tc>
          <w:tcPr>
            <w:tcW w:type="dxa" w:w="26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Subgroup analysis + fairness metrics</w:t>
            </w:r>
          </w:p>
        </w:tc>
        <w:tc>
          <w:tcPr>
            <w:tcW w:type="dxa" w:w="27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 Complete</w:t>
            </w:r>
          </w:p>
        </w:tc>
      </w:tr>
      <w:tr>
        <w:tc>
          <w:tcPr>
            <w:tcW w:type="dxa" w:w="144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10</w:t>
            </w:r>
          </w:p>
        </w:tc>
        <w:tc>
          <w:tcPr>
            <w:tcW w:type="dxa" w:w="26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Bias mitigation</w:t>
            </w:r>
          </w:p>
        </w:tc>
        <w:tc>
          <w:tcPr>
            <w:tcW w:type="dxa" w:w="26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3 strategies, class weight selected</w:t>
            </w:r>
          </w:p>
        </w:tc>
        <w:tc>
          <w:tcPr>
            <w:tcW w:type="dxa" w:w="27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 Complete</w:t>
            </w:r>
          </w:p>
        </w:tc>
      </w:tr>
      <w:tr>
        <w:tc>
          <w:tcPr>
            <w:tcW w:type="dxa" w:w="144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11</w:t>
            </w:r>
          </w:p>
        </w:tc>
        <w:tc>
          <w:tcPr>
            <w:tcW w:type="dxa" w:w="26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Singapore analysis</w:t>
            </w:r>
          </w:p>
        </w:tc>
        <w:tc>
          <w:tcPr>
            <w:tcW w:type="dxa" w:w="260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Transferability report</w:t>
            </w:r>
          </w:p>
        </w:tc>
        <w:tc>
          <w:tcPr>
            <w:tcW w:type="dxa" w:w="272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 Complete</w:t>
            </w:r>
          </w:p>
        </w:tc>
      </w:tr>
      <w:tr>
        <w:tc>
          <w:tcPr>
            <w:tcW w:type="dxa" w:w="144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12</w:t>
            </w:r>
          </w:p>
        </w:tc>
        <w:tc>
          <w:tcPr>
            <w:tcW w:type="dxa" w:w="26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Final report + portfolio</w:t>
            </w:r>
          </w:p>
        </w:tc>
        <w:tc>
          <w:tcPr>
            <w:tcW w:type="dxa" w:w="260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This document</w:t>
            </w:r>
          </w:p>
        </w:tc>
        <w:tc>
          <w:tcPr>
            <w:tcW w:type="dxa" w:w="272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 Complete</w:t>
            </w:r>
          </w:p>
        </w:tc>
      </w:tr>
    </w:tbl>
    <w:p>
      <w:pPr>
        <w:spacing w:after="160"/>
        <w:jc w:val="center"/>
      </w:pPr>
      <w:r>
        <w:rPr>
          <w:rFonts w:ascii="Times New Roman" w:cs="Times New Roman" w:eastAsia="Times New Roman" w:hAnsi="Times New Roman"/>
          <w:i/>
          <w:iCs/>
          <w:color w:val="666666"/>
          <w:sz w:val="18"/>
          <w:szCs w:val="18"/>
        </w:rPr>
        <w:t xml:space="preserve">Table A1. Project timeline and completion status.</w:t>
      </w:r>
    </w:p>
    <w:p>
      <w:pPr>
        <w:spacing w:after="80"/>
      </w:pPr>
    </w:p>
    <w:p>
      <w:pPr>
        <w:pStyle w:val="Heading2"/>
        <w:spacing w:before="240" w:after="80"/>
      </w:pPr>
      <w:r>
        <w:rPr>
          <w:rFonts w:ascii="Arial" w:cs="Arial" w:eastAsia="Arial" w:hAnsi="Arial"/>
          <w:b/>
          <w:bCs/>
          <w:color w:val="2D6A4F"/>
          <w:sz w:val="26"/>
          <w:szCs w:val="26"/>
        </w:rPr>
        <w:t xml:space="preserve">A.2 Key Numeric Results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AD9D3" w:sz="1"/>
              <w:left w:val="single" w:color="CAD9D3" w:sz="1"/>
              <w:bottom w:val="single" w:color="CAD9D3" w:sz="1"/>
              <w:right w:val="single" w:color="CAD9D3"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Dataset size (adults, post-cleaning)</w:t>
            </w:r>
          </w:p>
        </w:tc>
        <w:tc>
          <w:tcPr>
            <w:tcW w:type="dxa" w:w="468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5,313 participants</w:t>
            </w:r>
          </w:p>
        </w:tc>
      </w:tr>
      <w:tr>
        <w:tc>
          <w:tcPr>
            <w:tcW w:type="dxa" w:w="468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Hypertension prevalence</w:t>
            </w:r>
          </w:p>
        </w:tc>
        <w:tc>
          <w:tcPr>
            <w:tcW w:type="dxa" w:w="468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32.1%</w:t>
            </w:r>
          </w:p>
        </w:tc>
      </w:tr>
      <w:tr>
        <w:tc>
          <w:tcPr>
            <w:tcW w:type="dxa" w:w="468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Train/test split</w:t>
            </w:r>
          </w:p>
        </w:tc>
        <w:tc>
          <w:tcPr>
            <w:tcW w:type="dxa" w:w="468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80% / 20% (stratified)</w:t>
            </w:r>
          </w:p>
        </w:tc>
      </w:tr>
      <w:tr>
        <w:tc>
          <w:tcPr>
            <w:tcW w:type="dxa" w:w="468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Final feature count</w:t>
            </w:r>
          </w:p>
        </w:tc>
        <w:tc>
          <w:tcPr>
            <w:tcW w:type="dxa" w:w="468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29 (6 numerical, 23 one-hot)</w:t>
            </w:r>
          </w:p>
        </w:tc>
      </w:tr>
      <w:tr>
        <w:tc>
          <w:tcPr>
            <w:tcW w:type="dxa" w:w="468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Baseline model AUC</w:t>
            </w:r>
          </w:p>
        </w:tc>
        <w:tc>
          <w:tcPr>
            <w:tcW w:type="dxa" w:w="468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0.7284</w:t>
            </w:r>
          </w:p>
        </w:tc>
      </w:tr>
      <w:tr>
        <w:tc>
          <w:tcPr>
            <w:tcW w:type="dxa" w:w="468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Baseline model recall</w:t>
            </w:r>
          </w:p>
        </w:tc>
        <w:tc>
          <w:tcPr>
            <w:tcW w:type="dxa" w:w="468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0.8731</w:t>
            </w:r>
          </w:p>
        </w:tc>
      </w:tr>
      <w:tr>
        <w:tc>
          <w:tcPr>
            <w:tcW w:type="dxa" w:w="468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Worst subgroup AUC (NHB)</w:t>
            </w:r>
          </w:p>
        </w:tc>
        <w:tc>
          <w:tcPr>
            <w:tcW w:type="dxa" w:w="468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0.680</w:t>
            </w:r>
          </w:p>
        </w:tc>
      </w:tr>
      <w:tr>
        <w:tc>
          <w:tcPr>
            <w:tcW w:type="dxa" w:w="468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Worst subgroup AUC (age 75+)</w:t>
            </w:r>
          </w:p>
        </w:tc>
        <w:tc>
          <w:tcPr>
            <w:tcW w:type="dxa" w:w="468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0.619</w:t>
            </w:r>
          </w:p>
        </w:tc>
      </w:tr>
      <w:tr>
        <w:tc>
          <w:tcPr>
            <w:tcW w:type="dxa" w:w="468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Post-mitigation NHB TPR (Strategy 2)</w:t>
            </w:r>
          </w:p>
        </w:tc>
        <w:tc>
          <w:tcPr>
            <w:tcW w:type="dxa" w:w="4680"/>
            <w:tcBorders>
              <w:top w:val="single" w:color="CAD9D3" w:sz="1"/>
              <w:left w:val="single" w:color="CAD9D3" w:sz="1"/>
              <w:bottom w:val="single" w:color="CAD9D3" w:sz="1"/>
              <w:right w:val="single" w:color="CAD9D3"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0.765 (+0.177 from baseline 0.588)</w:t>
            </w:r>
          </w:p>
        </w:tc>
      </w:tr>
      <w:tr>
        <w:tc>
          <w:tcPr>
            <w:tcW w:type="dxa" w:w="468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Post-mitigation overall AUC (Strategy 2)</w:t>
            </w:r>
          </w:p>
        </w:tc>
        <w:tc>
          <w:tcPr>
            <w:tcW w:type="dxa" w:w="4680"/>
            <w:tcBorders>
              <w:top w:val="single" w:color="CAD9D3" w:sz="1"/>
              <w:left w:val="single" w:color="CAD9D3" w:sz="1"/>
              <w:bottom w:val="single" w:color="CAD9D3" w:sz="1"/>
              <w:right w:val="single" w:color="CAD9D3" w:sz="1"/>
            </w:tcBorders>
            <w:shd w:fill="F0F4F1" w:val="clear"/>
            <w:tcMar>
              <w:top w:type="dxa" w:w="80"/>
              <w:left w:type="dxa" w:w="120"/>
              <w:bottom w:type="dxa" w:w="80"/>
              <w:right w:type="dxa" w:w="120"/>
            </w:tcMar>
          </w:tcPr>
          <w:p>
            <w:r>
              <w:rPr>
                <w:rFonts w:ascii="Times New Roman" w:cs="Times New Roman" w:eastAsia="Times New Roman" w:hAnsi="Times New Roman"/>
                <w:sz w:val="20"/>
                <w:szCs w:val="20"/>
              </w:rPr>
              <w:t xml:space="preserve">0.7196 (−0.009)</w:t>
            </w:r>
          </w:p>
        </w:tc>
      </w:tr>
    </w:tbl>
    <w:p>
      <w:pPr>
        <w:spacing w:after="160"/>
        <w:jc w:val="center"/>
      </w:pPr>
      <w:r>
        <w:rPr>
          <w:rFonts w:ascii="Times New Roman" w:cs="Times New Roman" w:eastAsia="Times New Roman" w:hAnsi="Times New Roman"/>
          <w:i/>
          <w:iCs/>
          <w:color w:val="666666"/>
          <w:sz w:val="18"/>
          <w:szCs w:val="18"/>
        </w:rPr>
        <w:t xml:space="preserve">Table A2. Summary of key project metrics.</w:t>
      </w:r>
    </w:p>
    <w:p>
      <w:pPr>
        <w:spacing w:after="80"/>
      </w:pPr>
    </w:p>
    <w:p>
      <w:pPr>
        <w:pStyle w:val="Heading2"/>
        <w:spacing w:before="240" w:after="80"/>
      </w:pPr>
      <w:r>
        <w:rPr>
          <w:rFonts w:ascii="Arial" w:cs="Arial" w:eastAsia="Arial" w:hAnsi="Arial"/>
          <w:b/>
          <w:bCs/>
          <w:color w:val="2D6A4F"/>
          <w:sz w:val="26"/>
          <w:szCs w:val="26"/>
        </w:rPr>
        <w:t xml:space="preserve">A.3 Tools and Libraries</w:t>
      </w:r>
    </w:p>
    <w:p>
      <w:pPr>
        <w:pStyle w:val="ListParagraph"/>
        <w:numPr>
          <w:ilvl w:val="0"/>
          <w:numId w:val="2"/>
        </w:numPr>
        <w:spacing w:after="80"/>
      </w:pPr>
      <w:r>
        <w:rPr>
          <w:rFonts w:ascii="Times New Roman" w:cs="Times New Roman" w:eastAsia="Times New Roman" w:hAnsi="Times New Roman"/>
          <w:sz w:val="22"/>
          <w:szCs w:val="22"/>
        </w:rPr>
        <w:t xml:space="preserve">Python 3.10 (Anaconda)</w:t>
      </w:r>
    </w:p>
    <w:p>
      <w:pPr>
        <w:pStyle w:val="ListParagraph"/>
        <w:numPr>
          <w:ilvl w:val="0"/>
          <w:numId w:val="2"/>
        </w:numPr>
        <w:spacing w:after="80"/>
      </w:pPr>
      <w:r>
        <w:rPr>
          <w:rFonts w:ascii="Times New Roman" w:cs="Times New Roman" w:eastAsia="Times New Roman" w:hAnsi="Times New Roman"/>
          <w:sz w:val="22"/>
          <w:szCs w:val="22"/>
        </w:rPr>
        <w:t xml:space="preserve">pandas 2.x — data loading, merging, cleaning, feature engineering</w:t>
      </w:r>
    </w:p>
    <w:p>
      <w:pPr>
        <w:pStyle w:val="ListParagraph"/>
        <w:numPr>
          <w:ilvl w:val="0"/>
          <w:numId w:val="2"/>
        </w:numPr>
        <w:spacing w:after="80"/>
      </w:pPr>
      <w:r>
        <w:rPr>
          <w:rFonts w:ascii="Times New Roman" w:cs="Times New Roman" w:eastAsia="Times New Roman" w:hAnsi="Times New Roman"/>
          <w:sz w:val="22"/>
          <w:szCs w:val="22"/>
        </w:rPr>
        <w:t xml:space="preserve">scikit-learn — preprocessing, logistic regression, evaluation metrics</w:t>
      </w:r>
    </w:p>
    <w:p>
      <w:pPr>
        <w:pStyle w:val="ListParagraph"/>
        <w:numPr>
          <w:ilvl w:val="0"/>
          <w:numId w:val="2"/>
        </w:numPr>
        <w:spacing w:after="80"/>
      </w:pPr>
      <w:r>
        <w:rPr>
          <w:rFonts w:ascii="Times New Roman" w:cs="Times New Roman" w:eastAsia="Times New Roman" w:hAnsi="Times New Roman"/>
          <w:sz w:val="22"/>
          <w:szCs w:val="22"/>
        </w:rPr>
        <w:t xml:space="preserve">XGBoost 1.7 — primary prediction model</w:t>
      </w:r>
    </w:p>
    <w:p>
      <w:pPr>
        <w:pStyle w:val="ListParagraph"/>
        <w:numPr>
          <w:ilvl w:val="0"/>
          <w:numId w:val="2"/>
        </w:numPr>
        <w:spacing w:after="80"/>
      </w:pPr>
      <w:r>
        <w:rPr>
          <w:rFonts w:ascii="Times New Roman" w:cs="Times New Roman" w:eastAsia="Times New Roman" w:hAnsi="Times New Roman"/>
          <w:sz w:val="22"/>
          <w:szCs w:val="22"/>
        </w:rPr>
        <w:t xml:space="preserve">imbalanced-learn (SMOTE) — oversampling mitigation</w:t>
      </w:r>
    </w:p>
    <w:p>
      <w:pPr>
        <w:pStyle w:val="ListParagraph"/>
        <w:numPr>
          <w:ilvl w:val="0"/>
          <w:numId w:val="2"/>
        </w:numPr>
        <w:spacing w:after="80"/>
      </w:pPr>
      <w:r>
        <w:rPr>
          <w:rFonts w:ascii="Times New Roman" w:cs="Times New Roman" w:eastAsia="Times New Roman" w:hAnsi="Times New Roman"/>
          <w:sz w:val="22"/>
          <w:szCs w:val="22"/>
        </w:rPr>
        <w:t xml:space="preserve">Fairlearn / AIF360 — formal fairness metrics</w:t>
      </w:r>
    </w:p>
    <w:p>
      <w:pPr>
        <w:pStyle w:val="ListParagraph"/>
        <w:numPr>
          <w:ilvl w:val="0"/>
          <w:numId w:val="2"/>
        </w:numPr>
        <w:spacing w:after="80"/>
      </w:pPr>
      <w:r>
        <w:rPr>
          <w:rFonts w:ascii="Times New Roman" w:cs="Times New Roman" w:eastAsia="Times New Roman" w:hAnsi="Times New Roman"/>
          <w:sz w:val="22"/>
          <w:szCs w:val="22"/>
        </w:rPr>
        <w:t xml:space="preserve">matplotlib / seaborn — visualisations</w:t>
      </w:r>
    </w:p>
    <w:p>
      <w:pPr>
        <w:pStyle w:val="ListParagraph"/>
        <w:numPr>
          <w:ilvl w:val="0"/>
          <w:numId w:val="2"/>
        </w:numPr>
        <w:spacing w:after="80"/>
      </w:pPr>
      <w:r>
        <w:rPr>
          <w:rFonts w:ascii="Times New Roman" w:cs="Times New Roman" w:eastAsia="Times New Roman" w:hAnsi="Times New Roman"/>
          <w:sz w:val="22"/>
          <w:szCs w:val="22"/>
        </w:rPr>
        <w:t xml:space="preserve">Jupyter Notebooks — analysis environment</w:t>
      </w:r>
    </w:p>
    <w:p>
      <w:pPr>
        <w:pStyle w:val="ListParagraph"/>
        <w:numPr>
          <w:ilvl w:val="0"/>
          <w:numId w:val="2"/>
        </w:numPr>
        <w:spacing w:after="80"/>
      </w:pPr>
      <w:r>
        <w:rPr>
          <w:rFonts w:ascii="Times New Roman" w:cs="Times New Roman" w:eastAsia="Times New Roman" w:hAnsi="Times New Roman"/>
          <w:sz w:val="22"/>
          <w:szCs w:val="22"/>
        </w:rPr>
        <w:t xml:space="preserve">GitHub — version control and reproducibility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D9D3" w:sz="2"/>
      </w:pBdr>
      <w:spacing w:before="80"/>
      <w:jc w:val="center"/>
    </w:pPr>
    <w:r>
      <w:rPr>
        <w:rFonts w:ascii="Arial" w:cs="Arial" w:eastAsia="Arial" w:hAnsi="Arial"/>
        <w:color w:val="888888"/>
        <w:sz w:val="18"/>
        <w:szCs w:val="18"/>
      </w:rPr>
      <w:t xml:space="preserve">Syafiq Khan · March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D9D3" w:sz="2"/>
      </w:pBdr>
      <w:spacing w:after="80"/>
    </w:pPr>
    <w:r>
      <w:rPr>
        <w:rFonts w:ascii="Arial" w:cs="Arial" w:eastAsia="Arial" w:hAnsi="Arial"/>
        <w:color w:val="888888"/>
        <w:sz w:val="18"/>
        <w:szCs w:val="18"/>
      </w:rPr>
      <w:t xml:space="preserve">EquiScreen — Fairness Auditing Pipeline for Hypertension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D6A4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D6A4F"/>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279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2026-03-05T05:48:43.425Z</dcterms:created>
  <dcterms:modified xsi:type="dcterms:W3CDTF">2026-03-05T05:48:43.426Z</dcterms:modified>
</cp:coreProperties>
</file>

<file path=docProps/custom.xml><?xml version="1.0" encoding="utf-8"?>
<Properties xmlns="http://schemas.openxmlformats.org/officeDocument/2006/custom-properties" xmlns:vt="http://schemas.openxmlformats.org/officeDocument/2006/docPropsVTypes"/>
</file>