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400"/>
              <w:left w:type="dxa" w:w="560"/>
              <w:bottom w:type="dxa" w:w="400"/>
              <w:right w:type="dxa" w:w="5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EquiScreen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B2D8C8"/>
                <w:sz w:val="20"/>
                <w:szCs w:val="20"/>
              </w:rPr>
              <w:t xml:space="preserve">A Fairness Auditing Pipeline for Clinical ML  ·  NHANES 2017–2018  ·  Hypertension Prediction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BFB0"/>
                <w:sz w:val="18"/>
                <w:szCs w:val="18"/>
              </w:rPr>
              <w:t xml:space="preserve">Syafiq Khan  ·  Biomedical Engineering  ·  March 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single" w:color="CAD9D3" w:sz="2"/>
              <w:bottom w:val="none" w:color="FFFFFF" w:sz="0"/>
              <w:right w:val="single" w:color="CAD9D3" w:sz="2"/>
            </w:tcBorders>
            <w:shd w:fill="E8F2E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0.728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AUC-ROC</w:t>
            </w:r>
          </w:p>
        </w:tc>
        <w:tc>
          <w:tcPr>
            <w:tcW w:type="dxa" w:w="1872"/>
            <w:tcBorders>
              <w:top w:val="none" w:color="FFFFFF" w:sz="0"/>
              <w:left w:val="single" w:color="CAD9D3" w:sz="2"/>
              <w:bottom w:val="none" w:color="FFFFFF" w:sz="0"/>
              <w:right w:val="single" w:color="CAD9D3" w:sz="2"/>
            </w:tcBorders>
            <w:shd w:fill="E8F2E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87.3%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Recall</w:t>
            </w:r>
          </w:p>
        </w:tc>
        <w:tc>
          <w:tcPr>
            <w:tcW w:type="dxa" w:w="1872"/>
            <w:tcBorders>
              <w:top w:val="none" w:color="FFFFFF" w:sz="0"/>
              <w:left w:val="single" w:color="CAD9D3" w:sz="2"/>
              <w:bottom w:val="none" w:color="FFFFFF" w:sz="0"/>
              <w:right w:val="single" w:color="CAD9D3" w:sz="2"/>
            </w:tcBorders>
            <w:shd w:fill="E8F2E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5,313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Patients</w:t>
            </w:r>
          </w:p>
        </w:tc>
        <w:tc>
          <w:tcPr>
            <w:tcW w:type="dxa" w:w="1872"/>
            <w:tcBorders>
              <w:top w:val="none" w:color="FFFFFF" w:sz="0"/>
              <w:left w:val="single" w:color="CAD9D3" w:sz="2"/>
              <w:bottom w:val="none" w:color="FFFFFF" w:sz="0"/>
              <w:right w:val="single" w:color="CAD9D3" w:sz="2"/>
            </w:tcBorders>
            <w:shd w:fill="E8F2E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Fairness Frameworks</w:t>
            </w:r>
          </w:p>
        </w:tc>
        <w:tc>
          <w:tcPr>
            <w:tcW w:type="dxa" w:w="1872"/>
            <w:tcBorders>
              <w:top w:val="none" w:color="FFFFFF" w:sz="0"/>
              <w:left w:val="single" w:color="CAD9D3" w:sz="2"/>
              <w:bottom w:val="none" w:color="FFFFFF" w:sz="0"/>
              <w:right w:val="single" w:color="CAD9D3" w:sz="2"/>
            </w:tcBorders>
            <w:shd w:fill="E8F2E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Mitigation Strategies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280"/>
      </w:tblGrid>
      <w:tr>
        <w:tc>
          <w:tcPr>
            <w:tcW w:type="dxa" w:w="3040"/>
            <w:tcBorders>
              <w:top w:val="single" w:color="CAD9D3" w:sz="1"/>
              <w:left w:val="single" w:color="CAD9D3" w:sz="1"/>
              <w:bottom w:val="single" w:color="CAD9D3" w:sz="1"/>
              <w:right w:val="single" w:color="CAD9D3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hd w:fill="52796F" w:val="clear"/>
              <w:spacing w:before="0" w:after="8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PROBLEM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clinical ML models are evaluated on aggregate metrics that conceal demographic disparities. A model can achieve AUC 0.73 overall while performing at 0.68 for Black patients — and no one would know unless someone explicitly checked.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~5% of published clinical ML studies assess fairness across subgroups.</w:t>
            </w:r>
          </w:p>
          <w:p>
            <w:pPr>
              <w:spacing w:after="80"/>
            </w:pPr>
          </w:p>
          <w:p>
            <w:pPr>
              <w:shd w:fill="52796F" w:val="clear"/>
              <w:spacing w:before="0" w:after="8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End-to-end ML pipeline on NHANES 2017–2018 (5,313 adults)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XGBoost hypertension classifier with principled feature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fairness audit: 5 demographic axes, 3 formal frameworks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bias mitigation experiments with tradeoff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Singapore transferability analysis (CMIO context)</w:t>
            </w:r>
          </w:p>
        </w:tc>
        <w:tc>
          <w:tcPr>
            <w:tcW w:type="dxa" w:w="3040"/>
            <w:tcBorders>
              <w:top w:val="single" w:color="CAD9D3" w:sz="1"/>
              <w:left w:val="single" w:color="CAD9D3" w:sz="1"/>
              <w:bottom w:val="single" w:color="CAD9D3" w:sz="1"/>
              <w:right w:val="single" w:color="CAD9D3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hd w:fill="52796F" w:val="clear"/>
              <w:spacing w:before="0" w:after="8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Non-Hispanic Black patients failed 3 of 4 fairness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AUC 0.680 vs overall 0.728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TPR 0.735 vs overall 0.873 — 13.8% more missed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Fails Equalized Odds and Calibration</w:t>
            </w:r>
          </w:p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 75+ showed weakest discrimination: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AUC 0.619 — elderly BP patterns poorly captured</w:t>
            </w:r>
          </w:p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Critical: DIR passed for all groups while Equalized Odds failed — no single fairness metric is sufficient.</w:t>
            </w:r>
          </w:p>
        </w:tc>
        <w:tc>
          <w:tcPr>
            <w:tcW w:type="dxa" w:w="3280"/>
            <w:tcBorders>
              <w:top w:val="single" w:color="CAD9D3" w:sz="1"/>
              <w:left w:val="single" w:color="CAD9D3" w:sz="1"/>
              <w:bottom w:val="single" w:color="CAD9D3" w:sz="1"/>
              <w:right w:val="single" w:color="CAD9D3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hd w:fill="52796F" w:val="clear"/>
              <w:spacing w:before="0" w:after="8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&amp; TRADEOFFS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weight adjustment selected (scale_pos_weight = 8.0):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NHB TPR: 0.588 → 0.765  (+17.7pp)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Overall AUC: 0.728 → 0.720  (−0.9pp)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Transparent mechanism, no extreme FPR inflation</w:t>
            </w:r>
          </w:p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strategy fully closed the gap — illustrating the fundamental fairness-accuracy tradeoff in clinical ML.</w:t>
            </w:r>
          </w:p>
          <w:p>
            <w:pPr>
              <w:spacing w:after="80"/>
            </w:pPr>
          </w:p>
          <w:p>
            <w:pPr>
              <w:shd w:fill="52796F" w:val="clear"/>
              <w:spacing w:before="0" w:after="8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 DEMONSTRATED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pandas · scikit-learn · XGBoost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Fairlearn / AIF360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 imbalance handling (SMOTE)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leakage detection &amp; prevention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Reproducible notebooks · GitHub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AD9D3" w:sz="1"/>
              <w:left w:val="single" w:color="CAD9D3" w:sz="1"/>
              <w:bottom w:val="single" w:color="CAD9D3" w:sz="1"/>
              <w:right w:val="single" w:color="CAD9D3" w:sz="1"/>
            </w:tcBorders>
            <w:shd w:fill="EEF5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GitHub Repository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github.com/[your-username]/equiscreen</w:t>
            </w:r>
          </w:p>
        </w:tc>
        <w:tc>
          <w:tcPr>
            <w:tcW w:type="dxa" w:w="4680"/>
            <w:tcBorders>
              <w:top w:val="single" w:color="CAD9D3" w:sz="1"/>
              <w:left w:val="single" w:color="CAD9D3" w:sz="1"/>
              <w:bottom w:val="single" w:color="CAD9D3" w:sz="1"/>
              <w:right w:val="single" w:color="CAD9D3" w:sz="1"/>
            </w:tcBorders>
            <w:shd w:fill="EEF5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Dataset &amp; Ethics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NHANES 2017–2018 (CDC)  ·  CITI Training certified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2026-03-05T05:55:47.702Z</dcterms:created>
  <dcterms:modified xsi:type="dcterms:W3CDTF">2026-03-05T05:55:47.703Z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