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KaiTi"/>
          <w:b/>
          <w:color w:val="1F3C56"/>
          <w:sz w:val="36"/>
          <w:lang w:val="zh-CN" w:eastAsia="zh-CN"/>
        </w:rPr>
        <w:t>王红一天安排表</w:t>
      </w:r>
    </w:p>
    <w:p>
      <w:pPr>
        <w:jc w:val="center"/>
      </w:pPr>
      <w:r>
        <w:rPr>
          <w:rFonts w:ascii="Times New Roman" w:hAnsi="Times New Roman" w:cs="Times New Roman" w:eastAsia="KaiTi"/>
          <w:sz w:val="20"/>
          <w:lang w:val="zh-CN" w:eastAsia="zh-CN"/>
        </w:rPr>
        <w:t>第二课《王红的一天》｜教材 P15–P20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根据三段短文，写出王红一天的安排。可以先写关键词，再和同伴互相补充。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时间</w:t>
            </w:r>
          </w:p>
        </w:tc>
        <w:tc>
          <w:tcPr>
            <w:tcW w:type="dxa" w:w="2592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地点</w:t>
            </w:r>
          </w:p>
        </w:tc>
        <w:tc>
          <w:tcPr>
            <w:tcW w:type="dxa" w:w="2592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王红做什么</w:t>
            </w:r>
          </w:p>
        </w:tc>
        <w:tc>
          <w:tcPr>
            <w:tcW w:type="dxa" w:w="2592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我听到的依据／关键词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早上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上午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中午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下午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</w:tr>
    </w:tbl>
    <w:p>
      <w:r>
        <w:rPr>
          <w:rFonts w:ascii="Times New Roman" w:hAnsi="Times New Roman" w:cs="Times New Roman" w:eastAsia="KaiTi"/>
          <w:sz w:val="22"/>
          <w:lang w:val="zh-CN" w:eastAsia="zh-CN"/>
        </w:rPr>
        <w:t>和同伴核对：我们有哪一项不一样？______________________________________________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开放记录：表格中的说法可以不同，但要能回到三段短文的内容。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KaiTi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