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80" w:line="252" w:lineRule="auto"/>
      </w:pPr>
      <w:r>
        <w:rPr>
          <w:rFonts w:ascii="Times New Roman" w:hAnsi="Times New Roman" w:eastAsia="Microsoft YaHei"/>
          <w:b/>
          <w:color w:val="17324D"/>
          <w:sz w:val="44"/>
          <w:lang w:val="zh-CN" w:eastAsia="zh-CN"/>
        </w:rPr>
        <w:t>活动 01 · 姓名访谈 · 教师速用说明</w:t>
      </w:r>
    </w:p>
    <w:p>
      <w:pPr>
        <w:spacing w:before="0" w:after="240" w:line="264" w:lineRule="auto"/>
      </w:pPr>
      <w:r>
        <w:rPr>
          <w:rFonts w:ascii="Times New Roman" w:hAnsi="Times New Roman" w:eastAsia="Microsoft YaHei"/>
          <w:color w:val="526579"/>
          <w:sz w:val="24"/>
          <w:lang w:val="zh-CN" w:eastAsia="zh-CN"/>
        </w:rPr>
        <w:t>第一课《中国人的姓名》 · 教师速用说明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6" w:space="0" w:color="D2DCE7"/>
              <w:left w:val="single" w:sz="6" w:space="0" w:color="D2DCE7"/>
              <w:bottom w:val="single" w:sz="6" w:space="0" w:color="D2DCE7"/>
              <w:right w:val="single" w:sz="6" w:space="0" w:color="D2DCE7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Microsoft YaHei"/>
                <w:b/>
                <w:color w:val="1F4D78"/>
                <w:sz w:val="22"/>
                <w:lang w:val="zh-CN" w:eastAsia="zh-CN"/>
              </w:rPr>
              <w:t>使用时段</w:t>
            </w:r>
          </w:p>
        </w:tc>
        <w:tc>
          <w:tcPr>
            <w:tcW w:type="dxa" w:w="74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D2DCE7"/>
              <w:left w:val="single" w:sz="6" w:space="0" w:color="D2DCE7"/>
              <w:bottom w:val="single" w:sz="6" w:space="0" w:color="D2DCE7"/>
              <w:right w:val="single" w:sz="6" w:space="0" w:color="D2DCE7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Microsoft YaHei"/>
                <w:color w:val="17324D"/>
                <w:sz w:val="22"/>
                <w:lang w:val="zh-CN" w:eastAsia="zh-CN"/>
              </w:rPr>
              <w:t>P1–P2</w:t>
            </w:r>
          </w:p>
        </w:tc>
      </w:tr>
      <w:tr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6" w:space="0" w:color="D2DCE7"/>
              <w:left w:val="single" w:sz="6" w:space="0" w:color="D2DCE7"/>
              <w:bottom w:val="single" w:sz="6" w:space="0" w:color="D2DCE7"/>
              <w:right w:val="single" w:sz="6" w:space="0" w:color="D2DCE7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Microsoft YaHei"/>
                <w:b/>
                <w:color w:val="1F4D78"/>
                <w:sz w:val="22"/>
                <w:lang w:val="zh-CN" w:eastAsia="zh-CN"/>
              </w:rPr>
              <w:t>活动时间</w:t>
            </w:r>
          </w:p>
        </w:tc>
        <w:tc>
          <w:tcPr>
            <w:tcW w:type="dxa" w:w="74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D2DCE7"/>
              <w:left w:val="single" w:sz="6" w:space="0" w:color="D2DCE7"/>
              <w:bottom w:val="single" w:sz="6" w:space="0" w:color="D2DCE7"/>
              <w:right w:val="single" w:sz="6" w:space="0" w:color="D2DCE7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Microsoft YaHei"/>
                <w:color w:val="17324D"/>
                <w:sz w:val="22"/>
                <w:lang w:val="zh-CN" w:eastAsia="zh-CN"/>
              </w:rPr>
              <w:t>每轮约 4 分钟</w:t>
            </w:r>
          </w:p>
        </w:tc>
      </w:tr>
      <w:tr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6" w:space="0" w:color="D2DCE7"/>
              <w:left w:val="single" w:sz="6" w:space="0" w:color="D2DCE7"/>
              <w:bottom w:val="single" w:sz="6" w:space="0" w:color="D2DCE7"/>
              <w:right w:val="single" w:sz="6" w:space="0" w:color="D2DCE7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Microsoft YaHei"/>
                <w:b/>
                <w:color w:val="1F4D78"/>
                <w:sz w:val="22"/>
                <w:lang w:val="zh-CN" w:eastAsia="zh-CN"/>
              </w:rPr>
              <w:t>分组方式</w:t>
            </w:r>
          </w:p>
        </w:tc>
        <w:tc>
          <w:tcPr>
            <w:tcW w:type="dxa" w:w="74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D2DCE7"/>
              <w:left w:val="single" w:sz="6" w:space="0" w:color="D2DCE7"/>
              <w:bottom w:val="single" w:sz="6" w:space="0" w:color="D2DCE7"/>
              <w:right w:val="single" w:sz="6" w:space="0" w:color="D2DCE7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Microsoft YaHei"/>
                <w:color w:val="17324D"/>
                <w:sz w:val="22"/>
                <w:lang w:val="zh-CN" w:eastAsia="zh-CN"/>
              </w:rPr>
              <w:t>三人一组：访谈者、回答者、观察者</w:t>
            </w:r>
          </w:p>
        </w:tc>
      </w:tr>
    </w:tbl>
    <w:p>
      <w:pPr>
        <w:spacing w:after="40"/>
      </w:pPr>
    </w:p>
    <w:p>
      <w:pPr>
        <w:pStyle w:val="Heading1"/>
        <w:pageBreakBefore w:val="0"/>
        <w:spacing w:before="320" w:after="160" w:line="264" w:lineRule="auto"/>
      </w:pPr>
      <w:r>
        <w:rPr>
          <w:rFonts w:ascii="Times New Roman" w:hAnsi="Times New Roman" w:eastAsia="Microsoft YaHei"/>
          <w:b/>
          <w:color w:val="2E74B5"/>
          <w:sz w:val="32"/>
          <w:lang w:val="zh-CN" w:eastAsia="zh-CN"/>
        </w:rPr>
        <w:t>发放顺序</w:t>
      </w:r>
    </w:p>
    <w:p>
      <w:pPr>
        <w:pStyle w:val="ListNumber"/>
        <w:spacing w:before="0" w:after="80" w:line="288" w:lineRule="auto"/>
        <w:ind w:left="403" w:hanging="259"/>
      </w:pPr>
      <w:r>
        <w:rPr>
          <w:rFonts w:ascii="Times New Roman" w:hAnsi="Times New Roman" w:eastAsia="Microsoft YaHei"/>
          <w:color w:val="17324D"/>
          <w:sz w:val="24"/>
          <w:lang w:val="zh-CN" w:eastAsia="zh-CN"/>
        </w:rPr>
        <w:t>每组先拿三张角色卡；访谈者和观察者直接使用自己卡片中的问题和记录表。</w:t>
      </w:r>
    </w:p>
    <w:p>
      <w:pPr>
        <w:pStyle w:val="ListNumber"/>
        <w:spacing w:before="0" w:after="80" w:line="288" w:lineRule="auto"/>
        <w:ind w:left="403" w:hanging="259"/>
      </w:pPr>
      <w:r>
        <w:rPr>
          <w:rFonts w:ascii="Times New Roman" w:hAnsi="Times New Roman" w:eastAsia="Microsoft YaHei"/>
          <w:color w:val="17324D"/>
          <w:sz w:val="24"/>
          <w:lang w:val="zh-CN" w:eastAsia="zh-CN"/>
        </w:rPr>
        <w:t>第一轮开始：访谈者先问，回答者回答，观察者记录。</w:t>
      </w:r>
    </w:p>
    <w:p>
      <w:pPr>
        <w:pStyle w:val="ListNumber"/>
        <w:spacing w:before="0" w:after="80" w:line="288" w:lineRule="auto"/>
        <w:ind w:left="403" w:hanging="259"/>
      </w:pPr>
      <w:r>
        <w:rPr>
          <w:rFonts w:ascii="Times New Roman" w:hAnsi="Times New Roman" w:eastAsia="Microsoft YaHei"/>
          <w:color w:val="17324D"/>
          <w:sz w:val="24"/>
          <w:lang w:val="zh-CN" w:eastAsia="zh-CN"/>
        </w:rPr>
        <w:t>每轮结束后换角色，三个人都完成一次访谈。</w:t>
      </w:r>
    </w:p>
    <w:p>
      <w:pPr>
        <w:pStyle w:val="ListNumber"/>
        <w:spacing w:before="0" w:after="80" w:line="288" w:lineRule="auto"/>
        <w:ind w:left="403" w:hanging="259"/>
      </w:pPr>
      <w:r>
        <w:rPr>
          <w:rFonts w:ascii="Times New Roman" w:hAnsi="Times New Roman" w:eastAsia="Microsoft YaHei"/>
          <w:color w:val="17324D"/>
          <w:sz w:val="24"/>
          <w:lang w:val="zh-CN" w:eastAsia="zh-CN"/>
        </w:rPr>
        <w:t>最后收回观察者角色卡，检查每位学生是否留下口语证据。</w:t>
      </w:r>
    </w:p>
    <w:p>
      <w:pPr>
        <w:pStyle w:val="Heading2"/>
        <w:pageBreakBefore w:val="0"/>
        <w:spacing w:before="240" w:after="120" w:line="264" w:lineRule="auto"/>
      </w:pPr>
      <w:r>
        <w:rPr>
          <w:rFonts w:ascii="Times New Roman" w:hAnsi="Times New Roman" w:eastAsia="Microsoft YaHei"/>
          <w:b/>
          <w:color w:val="1F4D78"/>
          <w:sz w:val="28"/>
          <w:lang w:val="zh-CN" w:eastAsia="zh-CN"/>
        </w:rPr>
        <w:t>每组材料</w:t>
      </w:r>
    </w:p>
    <w:p>
      <w:pPr>
        <w:spacing w:before="0" w:after="80" w:line="288" w:lineRule="auto"/>
        <w:ind w:left="403" w:hanging="259"/>
      </w:pPr>
      <w:r>
        <w:rPr>
          <w:rFonts w:ascii="Times New Roman" w:hAnsi="Times New Roman" w:eastAsia="Microsoft YaHei"/>
          <w:color w:val="17324D"/>
          <w:sz w:val="24"/>
          <w:lang w:val="zh-CN" w:eastAsia="zh-CN"/>
        </w:rPr>
        <w:t>• 角色卡：访谈者、回答者、观察者各一张；访谈问题和观察记录已经放在对应角色卡中</w:t>
      </w:r>
    </w:p>
    <w:p>
      <w:pPr>
        <w:pStyle w:val="Heading2"/>
        <w:pageBreakBefore w:val="0"/>
        <w:spacing w:before="240" w:after="120" w:line="264" w:lineRule="auto"/>
      </w:pPr>
      <w:r>
        <w:rPr>
          <w:rFonts w:ascii="Times New Roman" w:hAnsi="Times New Roman" w:eastAsia="Microsoft YaHei"/>
          <w:b/>
          <w:color w:val="1F4D78"/>
          <w:sz w:val="28"/>
          <w:lang w:val="zh-CN" w:eastAsia="zh-CN"/>
        </w:rPr>
        <w:t>活动结束</w:t>
      </w:r>
    </w:p>
    <w:p>
      <w:pPr>
        <w:spacing w:before="0" w:after="120" w:line="300" w:lineRule="auto"/>
      </w:pPr>
      <w:r>
        <w:rPr>
          <w:rFonts w:ascii="Times New Roman" w:hAnsi="Times New Roman" w:eastAsia="Microsoft YaHei"/>
          <w:color w:val="17324D"/>
          <w:sz w:val="24"/>
          <w:lang w:val="zh-CN" w:eastAsia="zh-CN"/>
        </w:rPr>
        <w:t>观察者角色卡由教师收回，作为 P2 重做的依据。</w:t>
      </w:r>
    </w:p>
    <w:p>
      <w:pPr>
        <w:pStyle w:val="Heading2"/>
        <w:pageBreakBefore w:val="0"/>
        <w:spacing w:before="240" w:after="120" w:line="264" w:lineRule="auto"/>
      </w:pPr>
      <w:r>
        <w:rPr>
          <w:rFonts w:ascii="Times New Roman" w:hAnsi="Times New Roman" w:eastAsia="Microsoft YaHei"/>
          <w:b/>
          <w:color w:val="1F4D78"/>
          <w:sz w:val="28"/>
          <w:lang w:val="zh-CN" w:eastAsia="zh-CN"/>
        </w:rPr>
        <w:t>人数不足时</w:t>
      </w:r>
    </w:p>
    <w:p>
      <w:pPr>
        <w:spacing w:before="0" w:after="120" w:line="300" w:lineRule="auto"/>
      </w:pPr>
      <w:r>
        <w:rPr>
          <w:rFonts w:ascii="Times New Roman" w:hAnsi="Times New Roman" w:eastAsia="Microsoft YaHei"/>
          <w:color w:val="17324D"/>
          <w:sz w:val="24"/>
          <w:lang w:val="zh-CN" w:eastAsia="zh-CN"/>
        </w:rPr>
        <w:t>两人组时，一人先担任访谈者和观察者，下一轮交换；不取消回答和追问。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/>
    <w:r>
      <w:rPr>
        <w:rFonts w:ascii="Times New Roman" w:hAnsi="Times New Roman" w:eastAsia="Microsoft YaHei"/>
        <w:color w:val="64748B"/>
        <w:sz w:val="17"/>
        <w:lang w:val="zh-CN" w:eastAsia="zh-CN"/>
      </w:rPr>
      <w:t>荣市大学华语听说课程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40" w:line="240" w:lineRule="auto"/>
    </w:pPr>
    <w:r/>
    <w:r>
      <w:rPr>
        <w:rFonts w:ascii="Times New Roman" w:hAnsi="Times New Roman" w:eastAsia="Microsoft YaHei"/>
        <w:b/>
        <w:color w:val="64748B"/>
        <w:sz w:val="18"/>
        <w:lang w:val="zh-CN" w:eastAsia="zh-CN"/>
      </w:rPr>
      <w:t>博雅汉语听说 · 第一课《中国人的姓名》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Times New Roman" w:hAnsi="Times New Roman" w:eastAsia="Microsoft YaHei"/>
      <w:color w:val="17324D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76" w:lineRule="auto"/>
      <w:outlineLvl w:val="0"/>
    </w:pPr>
    <w:rPr>
      <w:rFonts w:asciiTheme="majorHAnsi" w:eastAsiaTheme="majorEastAsia" w:hAnsiTheme="majorHAnsi" w:cstheme="majorBidi" w:ascii="Times New Roman" w:hAnsi="Times New Roman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76" w:lineRule="auto"/>
      <w:outlineLvl w:val="1"/>
    </w:pPr>
    <w:rPr>
      <w:rFonts w:asciiTheme="majorHAnsi" w:eastAsiaTheme="majorEastAsia" w:hAnsiTheme="majorHAnsi" w:cstheme="majorBidi" w:ascii="Times New Roman" w:hAnsi="Times New Roman" w:eastAsia="Microsoft YaHei"/>
      <w:b/>
      <w:bCs/>
      <w:color w:val="1F4D7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 w:line="276" w:lineRule="auto"/>
      <w:outlineLvl w:val="2"/>
    </w:pPr>
    <w:rPr>
      <w:rFonts w:asciiTheme="majorHAnsi" w:eastAsiaTheme="majorEastAsia" w:hAnsiTheme="majorHAnsi" w:cstheme="majorBidi" w:ascii="Times New Roman" w:hAnsi="Times New Roman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76" w:lineRule="auto" w:before="0"/>
      <w:contextualSpacing/>
    </w:pPr>
    <w:rPr>
      <w:rFonts w:asciiTheme="majorHAnsi" w:eastAsiaTheme="majorEastAsia" w:hAnsiTheme="majorHAnsi" w:cstheme="majorBidi" w:ascii="Times New Roman" w:hAnsi="Times New Roman" w:eastAsia="Microsoft YaHei"/>
      <w:b w:val="0"/>
      <w:color w:val="17324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