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04 · 第三站：资料卡 C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04 · 姓氏信息站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读一读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找出一个重点，再用自己的话教给新小组。</w:t>
            </w:r>
          </w:p>
        </w:tc>
      </w:tr>
    </w:tbl>
    <w:p>
      <w:pPr>
        <w:spacing w:after="40"/>
      </w:pPr>
    </w:p>
    <w:p>
      <w:pPr>
        <w:spacing w:before="0" w:after="120" w:line="300" w:lineRule="auto"/>
      </w:pPr>
      <w:r>
        <w:rPr>
          <w:rFonts w:ascii="Times New Roman" w:hAnsi="Times New Roman" w:eastAsia="Noto Sans CJK SC"/>
          <w:color w:val="17324D"/>
          <w:sz w:val="24"/>
          <w:lang w:val="zh-CN" w:eastAsia="zh-CN"/>
        </w:rPr>
        <w:t>有些姓和古代的国名、地名或官名有关系。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我教给小组的重点</w:t>
            </w:r>
          </w:p>
        </w:tc>
      </w:tr>
      <w:tr>
        <w:trPr>
          <w:trHeight w:val="3168"/>
        </w:trP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可以这样说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因为……所以……　／　例如……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