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snapToGrid/>
        <w:spacing w:line="240" w:lineRule="auto"/>
        <w:jc w:val="center"/>
        <w:rPr>
          <w:rFonts w:hint="default"/>
          <w:b/>
          <w:bCs/>
          <w:sz w:val="32"/>
          <w:szCs w:val="32"/>
          <w:lang w:val="en-US"/>
        </w:rPr>
      </w:pPr>
      <w:bookmarkStart w:id="0" w:name="_GoBack"/>
      <w:r>
        <w:rPr>
          <w:rFonts w:ascii="Arial Black" w:hAnsi="Arial Black" w:eastAsia="Arial Black" w:cs="Arial Black"/>
          <w:i w:val="0"/>
          <w:iCs w:val="0"/>
          <w:caps w:val="0"/>
          <w:color w:val="000000"/>
          <w:spacing w:val="0"/>
          <w:sz w:val="40"/>
          <w:szCs w:val="40"/>
          <w:u w:val="single"/>
          <w:shd w:val="clear" w:fill="FFFFFF"/>
        </w:rPr>
        <w:t>PR Reconciliation Dashboard</w:t>
      </w:r>
      <w:r>
        <w:rPr>
          <w:rFonts w:hint="default" w:ascii="Arial Black" w:hAnsi="Arial Black" w:eastAsia="Arial Black" w:cs="Arial Black"/>
          <w:i w:val="0"/>
          <w:iCs w:val="0"/>
          <w:caps w:val="0"/>
          <w:color w:val="000000"/>
          <w:spacing w:val="0"/>
          <w:sz w:val="40"/>
          <w:szCs w:val="40"/>
          <w:u w:val="single"/>
          <w:shd w:val="clear" w:fill="FFFFFF"/>
          <w:lang w:val="en-US"/>
        </w:rPr>
        <w:t xml:space="preserve"> Report</w:t>
      </w:r>
      <w:bookmarkEnd w:id="0"/>
    </w:p>
    <w:p>
      <w:pPr>
        <w:pStyle w:val="16"/>
        <w:bidi w:val="0"/>
        <w:snapToGrid/>
        <w:spacing w:line="240" w:lineRule="auto"/>
        <w:jc w:val="center"/>
        <w:rPr>
          <w:rFonts w:hint="default"/>
          <w:b/>
          <w:bCs/>
          <w:sz w:val="32"/>
          <w:szCs w:val="32"/>
        </w:rPr>
      </w:pPr>
    </w:p>
    <w:p>
      <w:pPr>
        <w:pStyle w:val="16"/>
        <w:bidi w:val="0"/>
        <w:snapToGrid/>
        <w:spacing w:line="240" w:lineRule="auto"/>
        <w:jc w:val="center"/>
        <w:rPr>
          <w:rFonts w:hint="default"/>
          <w:b/>
          <w:bCs/>
          <w:sz w:val="32"/>
          <w:szCs w:val="32"/>
        </w:rPr>
      </w:pPr>
      <w:r>
        <w:rPr>
          <w:rFonts w:hint="default"/>
          <w:b/>
          <w:bCs/>
          <w:sz w:val="32"/>
          <w:szCs w:val="32"/>
        </w:rPr>
        <w:t>PR vs IRN Details:</w:t>
      </w:r>
    </w:p>
    <w:p>
      <w:pPr>
        <w:pStyle w:val="16"/>
        <w:bidi w:val="0"/>
        <w:snapToGrid/>
        <w:spacing w:line="240" w:lineRule="auto"/>
        <w:jc w:val="center"/>
        <w:rPr>
          <w:rFonts w:hint="default"/>
          <w:b/>
          <w:bCs/>
          <w:sz w:val="32"/>
          <w:szCs w:val="32"/>
        </w:rPr>
      </w:pPr>
    </w:p>
    <w:p>
      <w:pPr>
        <w:pStyle w:val="16"/>
        <w:bidi w:val="0"/>
        <w:snapToGrid/>
        <w:spacing w:line="240" w:lineRule="auto"/>
        <w:jc w:val="both"/>
        <w:rPr>
          <w:rFonts w:hint="default"/>
          <w:sz w:val="28"/>
          <w:szCs w:val="28"/>
        </w:rPr>
      </w:pPr>
      <w:r>
        <w:rPr>
          <w:rFonts w:hint="default"/>
          <w:sz w:val="28"/>
          <w:szCs w:val="28"/>
        </w:rPr>
        <w:t>Total PR Amount: The value displayed likely represents the total amount recorded in the Purchase Register (PR)</w:t>
      </w:r>
    </w:p>
    <w:p>
      <w:pPr>
        <w:pStyle w:val="16"/>
        <w:bidi w:val="0"/>
        <w:snapToGrid/>
        <w:spacing w:line="240" w:lineRule="auto"/>
        <w:jc w:val="both"/>
        <w:rPr>
          <w:rFonts w:hint="default"/>
          <w:sz w:val="28"/>
          <w:szCs w:val="28"/>
        </w:rPr>
      </w:pPr>
      <w:r>
        <w:rPr>
          <w:rFonts w:hint="default"/>
          <w:sz w:val="28"/>
          <w:szCs w:val="28"/>
        </w:rPr>
        <w:t>Total IRN Amount: This value represents the total invoice amount reflected in the Invoice Reporting Number (IRN) data.</w:t>
      </w:r>
    </w:p>
    <w:p>
      <w:pPr>
        <w:pStyle w:val="16"/>
        <w:bidi w:val="0"/>
        <w:snapToGrid/>
        <w:spacing w:line="240" w:lineRule="auto"/>
        <w:jc w:val="both"/>
        <w:rPr>
          <w:rFonts w:hint="default"/>
          <w:sz w:val="28"/>
          <w:szCs w:val="28"/>
        </w:rPr>
      </w:pPr>
      <w:r>
        <w:rPr>
          <w:rFonts w:hint="default"/>
          <w:sz w:val="28"/>
          <w:szCs w:val="28"/>
        </w:rPr>
        <w:t>Matched Amount: The dashboard likely shows the total amount where both PR and IRN data align, indicating a successful reconciliation for those specific transactions.</w:t>
      </w:r>
    </w:p>
    <w:p>
      <w:pPr>
        <w:pStyle w:val="16"/>
        <w:bidi w:val="0"/>
        <w:snapToGrid/>
        <w:spacing w:line="240" w:lineRule="auto"/>
        <w:jc w:val="both"/>
        <w:rPr>
          <w:rFonts w:hint="default"/>
          <w:sz w:val="28"/>
          <w:szCs w:val="28"/>
        </w:rPr>
      </w:pPr>
      <w:r>
        <w:rPr>
          <w:rFonts w:hint="default"/>
          <w:sz w:val="28"/>
          <w:szCs w:val="28"/>
        </w:rPr>
        <w:t>Matching vs. Mismatching Transactions:</w:t>
      </w:r>
    </w:p>
    <w:p>
      <w:pPr>
        <w:pStyle w:val="16"/>
        <w:bidi w:val="0"/>
        <w:snapToGrid/>
        <w:spacing w:line="240" w:lineRule="auto"/>
        <w:jc w:val="both"/>
        <w:rPr>
          <w:rFonts w:hint="default"/>
          <w:sz w:val="28"/>
          <w:szCs w:val="28"/>
        </w:rPr>
      </w:pPr>
      <w:r>
        <w:rPr>
          <w:rFonts w:hint="default"/>
          <w:sz w:val="28"/>
          <w:szCs w:val="28"/>
        </w:rPr>
        <w:t>Matched Transactions: The percentage displayed (potentially 96.73%) signifies the proportion of transactions where PR data matches the corresponding IRN data. This indicates a relatively high success rate in reconciling invoices.</w:t>
      </w:r>
    </w:p>
    <w:p>
      <w:pPr>
        <w:pStyle w:val="16"/>
        <w:bidi w:val="0"/>
        <w:snapToGrid/>
        <w:spacing w:line="240" w:lineRule="auto"/>
        <w:jc w:val="both"/>
        <w:rPr>
          <w:rFonts w:hint="default"/>
          <w:sz w:val="28"/>
          <w:szCs w:val="28"/>
        </w:rPr>
      </w:pPr>
      <w:r>
        <w:rPr>
          <w:rFonts w:hint="default"/>
          <w:sz w:val="28"/>
          <w:szCs w:val="28"/>
        </w:rPr>
        <w:t>Mismatched Transactions: The percentage (likely 3.27%) represents the proportion of transactions with discrepancies between PR and IRN data. This necessitates further investigation and potential corrective actions.</w:t>
      </w:r>
    </w:p>
    <w:p>
      <w:pPr>
        <w:pStyle w:val="16"/>
        <w:bidi w:val="0"/>
        <w:snapToGrid/>
        <w:spacing w:line="240" w:lineRule="auto"/>
        <w:jc w:val="center"/>
        <w:rPr>
          <w:rFonts w:hint="default"/>
          <w:sz w:val="28"/>
          <w:szCs w:val="28"/>
          <w:lang w:val="en-US"/>
        </w:rPr>
      </w:pPr>
    </w:p>
    <w:p>
      <w:pPr>
        <w:pStyle w:val="16"/>
        <w:bidi w:val="0"/>
        <w:snapToGrid/>
        <w:spacing w:line="240" w:lineRule="auto"/>
        <w:jc w:val="center"/>
        <w:rPr>
          <w:rFonts w:hint="default"/>
          <w:b/>
          <w:bCs/>
          <w:sz w:val="32"/>
          <w:szCs w:val="32"/>
          <w:lang w:val="en-US"/>
        </w:rPr>
      </w:pPr>
      <w:r>
        <w:rPr>
          <w:rFonts w:hint="default"/>
          <w:b/>
          <w:bCs/>
          <w:sz w:val="32"/>
          <w:szCs w:val="32"/>
          <w:lang w:val="en-US"/>
        </w:rPr>
        <w:t>Insights and recommendations:</w:t>
      </w:r>
    </w:p>
    <w:p>
      <w:pPr>
        <w:pStyle w:val="16"/>
        <w:bidi w:val="0"/>
        <w:snapToGrid/>
        <w:spacing w:line="240" w:lineRule="auto"/>
        <w:jc w:val="both"/>
        <w:rPr>
          <w:rFonts w:hint="default"/>
          <w:b/>
          <w:bCs/>
          <w:sz w:val="32"/>
          <w:szCs w:val="32"/>
          <w:lang w:val="en-US"/>
        </w:rPr>
      </w:pPr>
    </w:p>
    <w:p>
      <w:pPr>
        <w:pStyle w:val="16"/>
        <w:bidi w:val="0"/>
        <w:snapToGrid/>
        <w:spacing w:line="240" w:lineRule="auto"/>
        <w:jc w:val="both"/>
        <w:rPr>
          <w:rFonts w:hint="default"/>
          <w:sz w:val="28"/>
          <w:szCs w:val="28"/>
          <w:lang w:val="en-US"/>
        </w:rPr>
      </w:pPr>
      <w:r>
        <w:rPr>
          <w:rFonts w:hint="default"/>
          <w:sz w:val="28"/>
          <w:szCs w:val="28"/>
          <w:lang w:val="en-US"/>
        </w:rPr>
        <w:t>1.</w:t>
      </w:r>
      <w:r>
        <w:rPr>
          <w:rFonts w:hint="default"/>
          <w:sz w:val="28"/>
          <w:szCs w:val="28"/>
        </w:rPr>
        <w:t>The percentage displayed (potentially 96.73%) signifies the proportion of transactions where PR data matches the corresponding IRN data. This indicates a relatively high success rate in reconciling invoices.</w:t>
      </w:r>
    </w:p>
    <w:p>
      <w:pPr>
        <w:pStyle w:val="16"/>
        <w:bidi w:val="0"/>
        <w:snapToGrid/>
        <w:spacing w:line="240" w:lineRule="auto"/>
        <w:jc w:val="both"/>
        <w:rPr>
          <w:rFonts w:hint="default"/>
          <w:sz w:val="28"/>
          <w:szCs w:val="28"/>
        </w:rPr>
      </w:pPr>
      <w:r>
        <w:rPr>
          <w:rFonts w:hint="default"/>
          <w:sz w:val="28"/>
          <w:szCs w:val="28"/>
          <w:lang w:val="en-US"/>
        </w:rPr>
        <w:t>2.</w:t>
      </w:r>
      <w:r>
        <w:rPr>
          <w:rFonts w:hint="default"/>
          <w:sz w:val="28"/>
          <w:szCs w:val="28"/>
        </w:rPr>
        <w:t>Investigate Top Discrepancy Reasons: Analyze the reasons contributing most to the mismatches and implement corrective measures in purchasing or data entry processes to minimize their occurrence.</w:t>
      </w:r>
    </w:p>
    <w:p>
      <w:pPr>
        <w:pStyle w:val="16"/>
        <w:bidi w:val="0"/>
        <w:snapToGrid/>
        <w:spacing w:line="240" w:lineRule="auto"/>
        <w:jc w:val="both"/>
        <w:rPr>
          <w:rFonts w:hint="default"/>
          <w:sz w:val="28"/>
          <w:szCs w:val="28"/>
        </w:rPr>
      </w:pPr>
      <w:r>
        <w:rPr>
          <w:rFonts w:hint="default"/>
          <w:sz w:val="28"/>
          <w:szCs w:val="28"/>
          <w:lang w:val="en-US"/>
        </w:rPr>
        <w:t>3.</w:t>
      </w:r>
      <w:r>
        <w:rPr>
          <w:rFonts w:hint="default"/>
          <w:sz w:val="28"/>
          <w:szCs w:val="28"/>
        </w:rPr>
        <w:t>Focus on High-impact Vendors: Prioritize vendors exceeding the 10% discrepancy threshold for immediate reconciliation efforts.</w:t>
      </w:r>
    </w:p>
    <w:p>
      <w:pPr>
        <w:pStyle w:val="16"/>
        <w:bidi w:val="0"/>
        <w:snapToGrid/>
        <w:spacing w:line="240" w:lineRule="auto"/>
        <w:jc w:val="both"/>
        <w:rPr>
          <w:rFonts w:hint="default"/>
          <w:sz w:val="28"/>
          <w:szCs w:val="28"/>
        </w:rPr>
      </w:pPr>
      <w:r>
        <w:rPr>
          <w:rFonts w:hint="default"/>
          <w:sz w:val="28"/>
          <w:szCs w:val="28"/>
          <w:lang w:val="en-US"/>
        </w:rPr>
        <w:t>4.</w:t>
      </w:r>
      <w:r>
        <w:rPr>
          <w:rFonts w:hint="default"/>
          <w:sz w:val="28"/>
          <w:szCs w:val="28"/>
        </w:rPr>
        <w:t>Overall Discrepancy: The dashboard displays a discrepancy of 3.27% between the total PR amount and the IRN amount. This indicates a potential mismatch between the purchase orders and the invoices received.</w:t>
      </w:r>
    </w:p>
    <w:p>
      <w:pPr>
        <w:pStyle w:val="16"/>
        <w:bidi w:val="0"/>
        <w:snapToGrid/>
        <w:spacing w:line="240" w:lineRule="auto"/>
        <w:jc w:val="both"/>
        <w:rPr>
          <w:rFonts w:hint="default"/>
          <w:sz w:val="28"/>
          <w:szCs w:val="28"/>
        </w:rPr>
      </w:pPr>
      <w:r>
        <w:rPr>
          <w:rFonts w:hint="default"/>
          <w:sz w:val="28"/>
          <w:szCs w:val="28"/>
        </w:rPr>
        <w:t>Top Discrepancy Reasons: analyzing the reasons (e.g., Price Variance, Quantity Variance, Missing IRN), you can identify areas requiring corrective actions in procurement or purchase order management.</w:t>
      </w:r>
    </w:p>
    <w:p>
      <w:pPr>
        <w:pStyle w:val="16"/>
        <w:bidi w:val="0"/>
        <w:snapToGrid/>
        <w:spacing w:line="240" w:lineRule="auto"/>
        <w:jc w:val="both"/>
        <w:rPr>
          <w:rFonts w:hint="default"/>
          <w:sz w:val="28"/>
          <w:szCs w:val="28"/>
          <w:lang w:val="en-US"/>
        </w:rPr>
      </w:pPr>
      <w:r>
        <w:rPr>
          <w:rFonts w:hint="default"/>
          <w:sz w:val="28"/>
          <w:szCs w:val="28"/>
          <w:lang w:val="en-US"/>
        </w:rPr>
        <w:t>5.</w:t>
      </w:r>
      <w:r>
        <w:rPr>
          <w:rFonts w:hint="default"/>
          <w:sz w:val="28"/>
          <w:szCs w:val="28"/>
        </w:rPr>
        <w:t>Vendor-wise Discrepancy: The table labeled "Vendor Wise Discrepancy (&gt;10%)" highlights vendors with discrepancies exceeding 10%. This helps prioritize vendors where immediate investigation and potential reconciliation efforts are crucial.</w:t>
      </w:r>
    </w:p>
    <w:p>
      <w:pPr>
        <w:pStyle w:val="16"/>
        <w:bidi w:val="0"/>
        <w:snapToGrid/>
        <w:spacing w:line="240" w:lineRule="auto"/>
        <w:jc w:val="both"/>
        <w:rPr>
          <w:rFonts w:hint="default"/>
          <w:sz w:val="28"/>
          <w:szCs w:val="28"/>
          <w:lang w:val="en-US"/>
        </w:rPr>
      </w:pPr>
      <w:r>
        <w:rPr>
          <w:rFonts w:hint="default"/>
          <w:sz w:val="28"/>
          <w:szCs w:val="28"/>
          <w:lang w:val="en-US"/>
        </w:rPr>
        <w:t>6.Based on the information provided in the image, here are 10 insights you can glean from the PR Reconciliation Dashboard:</w:t>
      </w:r>
    </w:p>
    <w:p>
      <w:pPr>
        <w:pStyle w:val="16"/>
        <w:bidi w:val="0"/>
        <w:snapToGrid/>
        <w:spacing w:line="240" w:lineRule="auto"/>
        <w:jc w:val="both"/>
        <w:rPr>
          <w:rFonts w:hint="default"/>
          <w:sz w:val="28"/>
          <w:szCs w:val="28"/>
          <w:lang w:val="en-US"/>
        </w:rPr>
      </w:pPr>
    </w:p>
    <w:p>
      <w:pPr>
        <w:pStyle w:val="16"/>
        <w:bidi w:val="0"/>
        <w:snapToGrid/>
        <w:spacing w:line="240" w:lineRule="auto"/>
        <w:jc w:val="both"/>
        <w:rPr>
          <w:rFonts w:hint="default"/>
          <w:b/>
          <w:bCs/>
          <w:sz w:val="32"/>
          <w:szCs w:val="32"/>
          <w:lang w:val="en-US"/>
        </w:rPr>
      </w:pPr>
      <w:r>
        <w:rPr>
          <w:rFonts w:hint="default"/>
          <w:b/>
          <w:bCs/>
          <w:sz w:val="32"/>
          <w:szCs w:val="32"/>
          <w:lang w:val="en-US"/>
        </w:rPr>
        <w:t>7.Vendor-wise Analysis:</w:t>
      </w:r>
    </w:p>
    <w:p>
      <w:pPr>
        <w:pStyle w:val="16"/>
        <w:bidi w:val="0"/>
        <w:snapToGrid/>
        <w:spacing w:line="240" w:lineRule="auto"/>
        <w:jc w:val="both"/>
        <w:rPr>
          <w:rFonts w:hint="default"/>
          <w:sz w:val="28"/>
          <w:szCs w:val="28"/>
          <w:lang w:val="en-US"/>
        </w:rPr>
      </w:pPr>
      <w:r>
        <w:rPr>
          <w:rFonts w:hint="default"/>
          <w:sz w:val="28"/>
          <w:szCs w:val="28"/>
          <w:lang w:val="en-US"/>
        </w:rPr>
        <w:t>High Reconciliation Rate: The overall PR reconciliation rate is likely 0.23%, indicating a high degree of matching data between purchase records (PR) and vendor GST information. This suggests a well-maintained purchasing system with minimal discrepancies.</w:t>
      </w:r>
    </w:p>
    <w:p>
      <w:pPr>
        <w:pStyle w:val="16"/>
        <w:bidi w:val="0"/>
        <w:snapToGrid/>
        <w:spacing w:line="240" w:lineRule="auto"/>
        <w:jc w:val="both"/>
        <w:rPr>
          <w:rFonts w:hint="default"/>
          <w:sz w:val="28"/>
          <w:szCs w:val="28"/>
          <w:lang w:val="en-US"/>
        </w:rPr>
      </w:pPr>
    </w:p>
    <w:p>
      <w:pPr>
        <w:pStyle w:val="16"/>
        <w:bidi w:val="0"/>
        <w:snapToGrid/>
        <w:spacing w:line="240" w:lineRule="auto"/>
        <w:jc w:val="both"/>
        <w:rPr>
          <w:rFonts w:hint="default"/>
          <w:sz w:val="28"/>
          <w:szCs w:val="28"/>
          <w:lang w:val="en-US"/>
        </w:rPr>
      </w:pPr>
      <w:r>
        <w:rPr>
          <w:rFonts w:hint="default"/>
          <w:b/>
          <w:bCs/>
          <w:sz w:val="32"/>
          <w:szCs w:val="32"/>
          <w:lang w:val="en-US"/>
        </w:rPr>
        <w:t>8.Booking Date Analysis:</w:t>
      </w:r>
    </w:p>
    <w:p>
      <w:pPr>
        <w:pStyle w:val="16"/>
        <w:bidi w:val="0"/>
        <w:snapToGrid/>
        <w:spacing w:line="240" w:lineRule="auto"/>
        <w:jc w:val="both"/>
        <w:rPr>
          <w:rFonts w:hint="default"/>
          <w:sz w:val="28"/>
          <w:szCs w:val="28"/>
          <w:lang w:val="en-US"/>
        </w:rPr>
      </w:pPr>
      <w:r>
        <w:rPr>
          <w:rFonts w:hint="default"/>
          <w:sz w:val="28"/>
          <w:szCs w:val="28"/>
          <w:lang w:val="en-US"/>
        </w:rPr>
        <w:t>Top Booking Dates: Mumbai has the most booking dates (1.4K) followed by Pune (0.22K) and Ahmedabad (0.12K). This suggests higher business activity in these locations.</w:t>
      </w:r>
    </w:p>
    <w:p>
      <w:pPr>
        <w:pStyle w:val="16"/>
        <w:bidi w:val="0"/>
        <w:snapToGrid/>
        <w:spacing w:line="240" w:lineRule="auto"/>
        <w:jc w:val="both"/>
        <w:rPr>
          <w:rFonts w:hint="default"/>
          <w:sz w:val="28"/>
          <w:szCs w:val="28"/>
          <w:lang w:val="en-US"/>
        </w:rPr>
      </w:pPr>
    </w:p>
    <w:p>
      <w:pPr>
        <w:pStyle w:val="16"/>
        <w:bidi w:val="0"/>
        <w:snapToGrid/>
        <w:spacing w:line="240" w:lineRule="auto"/>
        <w:jc w:val="both"/>
        <w:rPr>
          <w:rFonts w:hint="default"/>
          <w:sz w:val="28"/>
          <w:szCs w:val="28"/>
          <w:lang w:val="en-US"/>
        </w:rPr>
      </w:pPr>
      <w:r>
        <w:rPr>
          <w:rFonts w:hint="default"/>
          <w:sz w:val="28"/>
          <w:szCs w:val="28"/>
          <w:lang w:val="en-US"/>
        </w:rPr>
        <w:t>Booking Date Distribution: The distribution of booking dates throughout the year can be visualized in the chart, indicating potential seasonal trends or peak booking periods.</w:t>
      </w:r>
    </w:p>
    <w:p>
      <w:pPr>
        <w:pStyle w:val="16"/>
        <w:bidi w:val="0"/>
        <w:snapToGrid/>
        <w:spacing w:line="240" w:lineRule="auto"/>
        <w:jc w:val="both"/>
        <w:rPr>
          <w:rFonts w:hint="default"/>
          <w:b/>
          <w:bCs/>
          <w:sz w:val="28"/>
          <w:szCs w:val="28"/>
          <w:lang w:val="en-US"/>
        </w:rPr>
      </w:pPr>
    </w:p>
    <w:p>
      <w:pPr>
        <w:pStyle w:val="16"/>
        <w:bidi w:val="0"/>
        <w:snapToGrid/>
        <w:spacing w:line="240" w:lineRule="auto"/>
        <w:jc w:val="both"/>
        <w:rPr>
          <w:rFonts w:hint="default"/>
          <w:b/>
          <w:bCs/>
          <w:sz w:val="32"/>
          <w:szCs w:val="32"/>
          <w:lang w:val="en-US"/>
        </w:rPr>
      </w:pPr>
      <w:r>
        <w:rPr>
          <w:rFonts w:hint="default"/>
          <w:b/>
          <w:bCs/>
          <w:sz w:val="32"/>
          <w:szCs w:val="32"/>
          <w:lang w:val="en-US"/>
        </w:rPr>
        <w:t>9.Hotel-wise Analysis:</w:t>
      </w:r>
    </w:p>
    <w:p>
      <w:pPr>
        <w:pStyle w:val="16"/>
        <w:bidi w:val="0"/>
        <w:snapToGrid/>
        <w:spacing w:line="240" w:lineRule="auto"/>
        <w:jc w:val="both"/>
        <w:rPr>
          <w:rFonts w:hint="default"/>
          <w:sz w:val="28"/>
          <w:szCs w:val="28"/>
          <w:lang w:val="en-US"/>
        </w:rPr>
      </w:pPr>
      <w:r>
        <w:rPr>
          <w:rFonts w:hint="default"/>
          <w:sz w:val="28"/>
          <w:szCs w:val="28"/>
          <w:lang w:val="en-US"/>
        </w:rPr>
        <w:t>Top Hotels by Total Amount: ITC Grand seems to be the top hotel in terms of total booking amount (18K), followed by ITC Maratha (13K) and The Westin (15K). This suggests these hotels are preferred choices for bookings.</w:t>
      </w:r>
    </w:p>
    <w:p>
      <w:pPr>
        <w:pStyle w:val="16"/>
        <w:bidi w:val="0"/>
        <w:snapToGrid/>
        <w:spacing w:line="240" w:lineRule="auto"/>
        <w:jc w:val="both"/>
        <w:rPr>
          <w:rFonts w:hint="default"/>
          <w:sz w:val="28"/>
          <w:szCs w:val="28"/>
          <w:lang w:val="en-US"/>
        </w:rPr>
      </w:pPr>
    </w:p>
    <w:p>
      <w:pPr>
        <w:pStyle w:val="16"/>
        <w:bidi w:val="0"/>
        <w:snapToGrid/>
        <w:spacing w:line="240" w:lineRule="auto"/>
        <w:jc w:val="both"/>
        <w:rPr>
          <w:rFonts w:hint="default"/>
          <w:sz w:val="28"/>
          <w:szCs w:val="28"/>
          <w:lang w:val="en-US"/>
        </w:rPr>
      </w:pPr>
      <w:r>
        <w:rPr>
          <w:rFonts w:hint="default"/>
          <w:sz w:val="28"/>
          <w:szCs w:val="28"/>
          <w:lang w:val="en-US"/>
        </w:rPr>
        <w:t>Top Hotels by Number of Bookings: ITC Grand also has the most bookings (318), followed by ITC Maratha (197) and The Westin (151). This indicates these hotels are popular among frequent guests.</w:t>
      </w:r>
    </w:p>
    <w:p>
      <w:pPr>
        <w:pStyle w:val="16"/>
        <w:bidi w:val="0"/>
        <w:snapToGrid/>
        <w:spacing w:line="240" w:lineRule="auto"/>
        <w:jc w:val="both"/>
        <w:rPr>
          <w:rFonts w:hint="default"/>
          <w:sz w:val="28"/>
          <w:szCs w:val="28"/>
          <w:lang w:val="en-US"/>
        </w:rPr>
      </w:pPr>
    </w:p>
    <w:p>
      <w:pPr>
        <w:pStyle w:val="16"/>
        <w:bidi w:val="0"/>
        <w:snapToGrid/>
        <w:spacing w:line="240" w:lineRule="auto"/>
        <w:jc w:val="both"/>
        <w:rPr>
          <w:rFonts w:hint="default"/>
          <w:sz w:val="28"/>
          <w:szCs w:val="28"/>
          <w:lang w:val="en-US"/>
        </w:rPr>
      </w:pPr>
      <w:r>
        <w:rPr>
          <w:rFonts w:hint="default"/>
          <w:sz w:val="28"/>
          <w:szCs w:val="28"/>
          <w:lang w:val="en-US"/>
        </w:rPr>
        <w:t>Hotel Night Distribution: The chart labeled "Count of Total Amount by No of Night" might reveal the frequency of booking durations. Analyzing this can help understand guest preferences for short stays versus extended stays.</w:t>
      </w:r>
    </w:p>
    <w:p>
      <w:pPr>
        <w:pStyle w:val="16"/>
        <w:bidi w:val="0"/>
        <w:snapToGrid/>
        <w:spacing w:line="240" w:lineRule="auto"/>
        <w:jc w:val="both"/>
        <w:rPr>
          <w:rFonts w:hint="default"/>
          <w:sz w:val="28"/>
          <w:szCs w:val="28"/>
          <w:lang w:val="en-US"/>
        </w:rPr>
      </w:pPr>
    </w:p>
    <w:p>
      <w:pPr>
        <w:pStyle w:val="16"/>
        <w:bidi w:val="0"/>
        <w:snapToGrid/>
        <w:spacing w:line="240" w:lineRule="auto"/>
        <w:jc w:val="both"/>
        <w:rPr>
          <w:rFonts w:hint="default"/>
          <w:sz w:val="28"/>
          <w:szCs w:val="28"/>
          <w:lang w:val="en-US"/>
        </w:rPr>
      </w:pPr>
      <w:r>
        <w:rPr>
          <w:rFonts w:hint="default"/>
          <w:b/>
          <w:bCs/>
          <w:sz w:val="32"/>
          <w:szCs w:val="32"/>
          <w:lang w:val="en-US"/>
        </w:rPr>
        <w:t>10.Location-wise Analysis:</w:t>
      </w:r>
    </w:p>
    <w:p>
      <w:pPr>
        <w:pStyle w:val="16"/>
        <w:bidi w:val="0"/>
        <w:snapToGrid/>
        <w:spacing w:line="240" w:lineRule="auto"/>
        <w:jc w:val="both"/>
        <w:rPr>
          <w:rFonts w:hint="default"/>
          <w:sz w:val="28"/>
          <w:szCs w:val="28"/>
          <w:lang w:val="en-US"/>
        </w:rPr>
      </w:pPr>
      <w:r>
        <w:rPr>
          <w:rFonts w:hint="default"/>
          <w:sz w:val="28"/>
          <w:szCs w:val="28"/>
          <w:lang w:val="en-US"/>
        </w:rPr>
        <w:t>Top Locations by Booking Count: Mumbai has the highest number of bookings (46256), followed by Delhi (16800) and Bangalore (25960). This implies these locations are major business hubs or tourist destinations.</w:t>
      </w:r>
    </w:p>
    <w:p>
      <w:pPr>
        <w:pStyle w:val="16"/>
        <w:bidi w:val="0"/>
        <w:snapToGrid/>
        <w:spacing w:line="240" w:lineRule="auto"/>
        <w:jc w:val="both"/>
        <w:rPr>
          <w:rFonts w:hint="default"/>
          <w:sz w:val="28"/>
          <w:szCs w:val="28"/>
          <w:lang w:val="en-US"/>
        </w:rPr>
      </w:pPr>
    </w:p>
    <w:p>
      <w:pPr>
        <w:pStyle w:val="16"/>
        <w:bidi w:val="0"/>
        <w:snapToGrid/>
        <w:spacing w:line="240" w:lineRule="auto"/>
        <w:jc w:val="both"/>
        <w:rPr>
          <w:rFonts w:hint="default"/>
          <w:sz w:val="28"/>
          <w:szCs w:val="28"/>
          <w:lang w:val="en-US"/>
        </w:rPr>
      </w:pPr>
      <w:r>
        <w:rPr>
          <w:rFonts w:hint="default"/>
          <w:sz w:val="28"/>
          <w:szCs w:val="28"/>
          <w:lang w:val="en-US"/>
        </w:rPr>
        <w:t>Location Distribution: Similar to booking dates, the distribution of bookings across locations can indicate geographical trends in business activity or travel preferences.</w:t>
      </w:r>
    </w:p>
    <w:p>
      <w:pPr>
        <w:pStyle w:val="16"/>
        <w:bidi w:val="0"/>
        <w:snapToGrid/>
        <w:spacing w:line="240" w:lineRule="auto"/>
        <w:jc w:val="both"/>
        <w:rPr>
          <w:rFonts w:hint="default"/>
          <w:b/>
          <w:bCs/>
          <w:sz w:val="32"/>
          <w:szCs w:val="32"/>
          <w:lang w:val="en-US"/>
        </w:rPr>
      </w:pPr>
    </w:p>
    <w:p>
      <w:pPr>
        <w:pStyle w:val="16"/>
        <w:bidi w:val="0"/>
        <w:snapToGrid/>
        <w:spacing w:line="240" w:lineRule="auto"/>
        <w:jc w:val="both"/>
        <w:rPr>
          <w:rFonts w:hint="default"/>
          <w:sz w:val="28"/>
          <w:szCs w:val="28"/>
          <w:lang w:val="en-US"/>
        </w:rPr>
      </w:pPr>
      <w:r>
        <w:rPr>
          <w:rFonts w:hint="default"/>
          <w:b/>
          <w:bCs/>
          <w:sz w:val="32"/>
          <w:szCs w:val="32"/>
          <w:lang w:val="en-US"/>
        </w:rPr>
        <w:t>Additional Insights:</w:t>
      </w:r>
    </w:p>
    <w:p>
      <w:pPr>
        <w:pStyle w:val="16"/>
        <w:bidi w:val="0"/>
        <w:snapToGrid/>
        <w:spacing w:line="240" w:lineRule="auto"/>
        <w:jc w:val="both"/>
        <w:rPr>
          <w:rFonts w:hint="default"/>
          <w:sz w:val="28"/>
          <w:szCs w:val="28"/>
          <w:lang w:val="en-US"/>
        </w:rPr>
      </w:pPr>
      <w:r>
        <w:rPr>
          <w:rFonts w:hint="default"/>
          <w:sz w:val="28"/>
          <w:szCs w:val="28"/>
          <w:lang w:val="en-US"/>
        </w:rPr>
        <w:t>Missing Data: There seems to be missing data for "Count of Vendor GSTN (shortened)" and "Total Amount." Having this information would allow for a more comprehensive analysis of vendors and overall spending.</w:t>
      </w:r>
    </w:p>
    <w:p>
      <w:pPr>
        <w:pStyle w:val="16"/>
        <w:bidi w:val="0"/>
        <w:snapToGrid/>
        <w:spacing w:line="240" w:lineRule="auto"/>
        <w:jc w:val="both"/>
        <w:rPr>
          <w:rFonts w:hint="default"/>
          <w:b/>
          <w:bCs/>
          <w:sz w:val="32"/>
          <w:szCs w:val="32"/>
          <w:lang w:val="en-US"/>
        </w:rPr>
      </w:pPr>
      <w:r>
        <w:rPr>
          <w:rFonts w:hint="default"/>
          <w:b/>
          <w:bCs/>
          <w:sz w:val="32"/>
          <w:szCs w:val="32"/>
          <w:lang w:val="en-US"/>
        </w:rPr>
        <w:t>Overall Further Analysis:</w:t>
      </w:r>
    </w:p>
    <w:p>
      <w:pPr>
        <w:pStyle w:val="16"/>
        <w:bidi w:val="0"/>
        <w:snapToGrid/>
        <w:spacing w:line="240" w:lineRule="auto"/>
        <w:jc w:val="both"/>
        <w:rPr>
          <w:rFonts w:hint="default"/>
          <w:sz w:val="28"/>
          <w:szCs w:val="28"/>
          <w:lang w:val="en-US"/>
        </w:rPr>
      </w:pPr>
      <w:r>
        <w:rPr>
          <w:rFonts w:hint="default"/>
          <w:sz w:val="28"/>
          <w:szCs w:val="28"/>
          <w:lang w:val="en-US"/>
        </w:rPr>
        <w:t>For a deeper understanding, consider:</w:t>
      </w:r>
    </w:p>
    <w:p>
      <w:pPr>
        <w:pStyle w:val="16"/>
        <w:bidi w:val="0"/>
        <w:snapToGrid/>
        <w:spacing w:line="240" w:lineRule="auto"/>
        <w:jc w:val="both"/>
        <w:rPr>
          <w:rFonts w:hint="default"/>
          <w:sz w:val="28"/>
          <w:szCs w:val="28"/>
          <w:lang w:val="en-US"/>
        </w:rPr>
      </w:pPr>
      <w:r>
        <w:rPr>
          <w:rFonts w:hint="default"/>
          <w:sz w:val="28"/>
          <w:szCs w:val="28"/>
          <w:lang w:val="en-US"/>
        </w:rPr>
        <w:t>Analyzing trends over time: Comparing data across different periods (weeks, months, quarters) can reveal seasonal variations and potential areas for improvement.</w:t>
      </w:r>
    </w:p>
    <w:p>
      <w:pPr>
        <w:pStyle w:val="16"/>
        <w:bidi w:val="0"/>
        <w:snapToGrid/>
        <w:spacing w:line="240" w:lineRule="auto"/>
        <w:jc w:val="both"/>
        <w:rPr>
          <w:rFonts w:hint="default"/>
          <w:sz w:val="28"/>
          <w:szCs w:val="28"/>
          <w:lang w:val="en-US"/>
        </w:rPr>
      </w:pPr>
      <w:r>
        <w:rPr>
          <w:rFonts w:hint="default"/>
          <w:sz w:val="28"/>
          <w:szCs w:val="28"/>
          <w:lang w:val="en-US"/>
        </w:rPr>
        <w:t>Drilling down into specific categories: Investigating data by product categories, departments, or booking purposes can provide more granular insights.</w:t>
      </w:r>
    </w:p>
    <w:p>
      <w:pPr>
        <w:pStyle w:val="16"/>
        <w:bidi w:val="0"/>
        <w:snapToGrid/>
        <w:spacing w:line="240" w:lineRule="auto"/>
        <w:jc w:val="both"/>
        <w:rPr>
          <w:rFonts w:hint="default"/>
          <w:sz w:val="28"/>
          <w:szCs w:val="28"/>
          <w:lang w:val="en-US"/>
        </w:rPr>
      </w:pPr>
      <w:r>
        <w:rPr>
          <w:rFonts w:hint="default"/>
          <w:sz w:val="28"/>
          <w:szCs w:val="28"/>
          <w:lang w:val="en-US"/>
        </w:rPr>
        <w:t>Correlating data with other sources: Combining PR data with sales figures or customer demographics might offer a more holistic view of purchasing patterns.</w:t>
      </w:r>
    </w:p>
    <w:sectPr>
      <w:type w:val="continuous"/>
      <w:pgSz w:w="11930" w:h="16860"/>
      <w:pgMar w:top="828" w:right="799" w:bottom="278" w:left="731"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C82EC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0565F37"/>
    <w:rsid w:val="6AC82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2024-03-12T22:49:00Z</dcterms:created>
  <dc:creator>shreyas</dc:creator>
  <cp:lastModifiedBy>Syasa</cp:lastModifiedBy>
  <dcterms:modified xsi:type="dcterms:W3CDTF">2024-03-12T23:06:29Z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8EB448F34944421D863AA1E3268CED0A_11</vt:lpwstr>
  </property>
</Properties>
</file>