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30A8C" w14:textId="46CC59EF" w:rsidR="00C74BBA" w:rsidRDefault="00C74BBA" w:rsidP="00C74BBA">
      <w:pPr>
        <w:shd w:val="clear" w:color="auto" w:fill="FFFFFF"/>
        <w:spacing w:before="100" w:beforeAutospacing="1" w:after="100" w:afterAutospacing="1" w:line="240" w:lineRule="auto"/>
        <w:jc w:val="center"/>
        <w:rPr>
          <w:rFonts w:ascii="Open Sans" w:eastAsia="Times New Roman" w:hAnsi="Open Sans" w:cs="Open Sans"/>
          <w:color w:val="262626"/>
          <w:sz w:val="21"/>
          <w:szCs w:val="21"/>
          <w:lang w:val="en-US"/>
        </w:rPr>
      </w:pPr>
      <w:proofErr w:type="spellStart"/>
      <w:r>
        <w:rPr>
          <w:rFonts w:ascii="Open Sans" w:eastAsia="Times New Roman" w:hAnsi="Open Sans" w:cs="Open Sans"/>
          <w:color w:val="262626"/>
          <w:sz w:val="21"/>
          <w:szCs w:val="21"/>
          <w:lang w:val="en-US"/>
        </w:rPr>
        <w:t>Yanet</w:t>
      </w:r>
      <w:proofErr w:type="spellEnd"/>
      <w:r>
        <w:rPr>
          <w:rFonts w:ascii="Open Sans" w:eastAsia="Times New Roman" w:hAnsi="Open Sans" w:cs="Open Sans"/>
          <w:color w:val="262626"/>
          <w:sz w:val="21"/>
          <w:szCs w:val="21"/>
          <w:lang w:val="en-US"/>
        </w:rPr>
        <w:t xml:space="preserve"> Garrido</w:t>
      </w:r>
    </w:p>
    <w:p w14:paraId="15AEABB0" w14:textId="387FA2BD" w:rsidR="00C74BBA" w:rsidRPr="00C74BBA" w:rsidRDefault="00C74BBA" w:rsidP="00C74BBA">
      <w:pPr>
        <w:shd w:val="clear" w:color="auto" w:fill="FFFFFF"/>
        <w:spacing w:before="100" w:beforeAutospacing="1" w:after="100" w:afterAutospacing="1" w:line="240" w:lineRule="auto"/>
        <w:jc w:val="center"/>
        <w:rPr>
          <w:rFonts w:ascii="Open Sans" w:eastAsia="Times New Roman" w:hAnsi="Open Sans" w:cs="Open Sans"/>
          <w:color w:val="262626"/>
          <w:sz w:val="21"/>
          <w:szCs w:val="21"/>
          <w:lang w:val="en-US"/>
        </w:rPr>
      </w:pPr>
      <w:r w:rsidRPr="00C74BBA">
        <w:rPr>
          <w:rFonts w:ascii="Open Sans" w:eastAsia="Times New Roman" w:hAnsi="Open Sans" w:cs="Open Sans"/>
          <w:color w:val="262626"/>
          <w:sz w:val="21"/>
          <w:szCs w:val="21"/>
          <w:lang w:val="en-US"/>
        </w:rPr>
        <w:t>Week 4 Discussion</w:t>
      </w:r>
    </w:p>
    <w:p w14:paraId="57977ABE" w14:textId="77777777" w:rsidR="00C74BBA" w:rsidRPr="00C74BBA" w:rsidRDefault="00C74BBA" w:rsidP="00C74BBA">
      <w:pPr>
        <w:numPr>
          <w:ilvl w:val="0"/>
          <w:numId w:val="1"/>
        </w:numPr>
        <w:shd w:val="clear" w:color="auto" w:fill="FFFFFF"/>
        <w:spacing w:after="0" w:line="240" w:lineRule="auto"/>
        <w:rPr>
          <w:rFonts w:ascii="Open Sans" w:eastAsia="Times New Roman" w:hAnsi="Open Sans" w:cs="Open Sans"/>
          <w:color w:val="262626"/>
          <w:sz w:val="21"/>
          <w:szCs w:val="21"/>
          <w:lang w:val="en-US"/>
        </w:rPr>
      </w:pPr>
      <w:r w:rsidRPr="00C74BBA">
        <w:rPr>
          <w:rFonts w:ascii="Open Sans" w:eastAsia="Times New Roman" w:hAnsi="Open Sans" w:cs="Open Sans"/>
          <w:color w:val="262626"/>
          <w:sz w:val="21"/>
          <w:szCs w:val="21"/>
          <w:lang w:val="en-US"/>
        </w:rPr>
        <w:t>Discuss two (2) common risk factors for polypharmacy. Give rationale for each identified risk factor.</w:t>
      </w:r>
    </w:p>
    <w:p w14:paraId="3F8DDF3B" w14:textId="77777777" w:rsidR="00C74BBA" w:rsidRPr="00C74BBA" w:rsidRDefault="00C74BBA" w:rsidP="00C74BBA">
      <w:pPr>
        <w:shd w:val="clear" w:color="auto" w:fill="FFFFFF"/>
        <w:spacing w:before="100" w:beforeAutospacing="1" w:after="100" w:afterAutospacing="1" w:line="240" w:lineRule="auto"/>
        <w:rPr>
          <w:rFonts w:ascii="Open Sans" w:eastAsia="Times New Roman" w:hAnsi="Open Sans" w:cs="Open Sans"/>
          <w:color w:val="262626"/>
          <w:sz w:val="21"/>
          <w:szCs w:val="21"/>
          <w:lang w:val="en-US"/>
        </w:rPr>
      </w:pPr>
      <w:r w:rsidRPr="00C74BBA">
        <w:rPr>
          <w:rFonts w:ascii="Open Sans" w:eastAsia="Times New Roman" w:hAnsi="Open Sans" w:cs="Open Sans"/>
          <w:color w:val="262626"/>
          <w:sz w:val="21"/>
          <w:szCs w:val="21"/>
          <w:lang w:val="en-US"/>
        </w:rPr>
        <w:t>Age- Older adults are affected by polypharmacy since “older persons are at larger risk for adverse drug events because of metabolic changes and decreased drug clearance associated with ageing this risk is compounded by increasing numbers of drugs used (Davies, et al., 2015). Polypharmacy increases the potential for drug-drug interactions and also is a risk factor for hip fractures (Rolland, et al., 2016).” Moreover, this could result in a matter with adherence to medication and outcome to cognitive or visual troubles. Secondly, the aged population is at risk of experiencing an Adverse Reaction (ADR) to the utilization of polypharmacy. Because the elderly has metabolic modifications and reduced drug clearance prescription are not as quickly emitted like people of a younger age (Reeve, et al., 2017). Moreover, the half-life of the drug remains in their system in an extended period, and they may end up consuming their next medication when the former drug is still in the system. </w:t>
      </w:r>
    </w:p>
    <w:p w14:paraId="2C491581" w14:textId="77777777" w:rsidR="00C74BBA" w:rsidRPr="00C74BBA" w:rsidRDefault="00C74BBA" w:rsidP="00C74BBA">
      <w:pPr>
        <w:numPr>
          <w:ilvl w:val="0"/>
          <w:numId w:val="2"/>
        </w:numPr>
        <w:shd w:val="clear" w:color="auto" w:fill="FFFFFF"/>
        <w:spacing w:after="0" w:line="240" w:lineRule="auto"/>
        <w:rPr>
          <w:rFonts w:ascii="Open Sans" w:eastAsia="Times New Roman" w:hAnsi="Open Sans" w:cs="Open Sans"/>
          <w:color w:val="262626"/>
          <w:sz w:val="21"/>
          <w:szCs w:val="21"/>
          <w:lang w:val="en-US"/>
        </w:rPr>
      </w:pPr>
      <w:r w:rsidRPr="00C74BBA">
        <w:rPr>
          <w:rFonts w:ascii="Open Sans" w:eastAsia="Times New Roman" w:hAnsi="Open Sans" w:cs="Open Sans"/>
          <w:color w:val="262626"/>
          <w:sz w:val="21"/>
          <w:szCs w:val="21"/>
          <w:lang w:val="en-US"/>
        </w:rPr>
        <w:t>Discuss two interventions you can take as a Nurse Practitioner in your clinical practice to prevent polypharmacy and its complications.</w:t>
      </w:r>
    </w:p>
    <w:p w14:paraId="1F0B1B09" w14:textId="77777777" w:rsidR="00C74BBA" w:rsidRPr="00C74BBA" w:rsidRDefault="00C74BBA" w:rsidP="00C74BBA">
      <w:pPr>
        <w:shd w:val="clear" w:color="auto" w:fill="FFFFFF"/>
        <w:spacing w:before="100" w:beforeAutospacing="1" w:after="100" w:afterAutospacing="1" w:line="240" w:lineRule="auto"/>
        <w:rPr>
          <w:rFonts w:ascii="Open Sans" w:eastAsia="Times New Roman" w:hAnsi="Open Sans" w:cs="Open Sans"/>
          <w:color w:val="262626"/>
          <w:sz w:val="21"/>
          <w:szCs w:val="21"/>
          <w:lang w:val="en-US"/>
        </w:rPr>
      </w:pPr>
      <w:r w:rsidRPr="00C74BBA">
        <w:rPr>
          <w:rFonts w:ascii="Open Sans" w:eastAsia="Times New Roman" w:hAnsi="Open Sans" w:cs="Open Sans"/>
          <w:color w:val="262626"/>
          <w:sz w:val="21"/>
          <w:szCs w:val="21"/>
          <w:lang w:val="en-US"/>
        </w:rPr>
        <w:t>The ways to avert polypharmacy is through identifying the medications the patients are consuming and establishing how they operate on the body. Besides, commencing a patient out on a low dosage of the medicine and gradually increasing will be best to reach its efficacy. When intensifying the dosage, the patient encounters an ADR; the prescription ought to be reduced to its final best efficacy. Another method is to check for addictive manners and if the patient sees other medical health care workers. The patient might be getting prescriptions from other health care workers, and if I give a similar medicine or even a more significant dose of the medication, the patient may be at peril for an overdose. It is vital that someone is conscious of their patients, but not restricted to, their health matters, the drugs they are getting, whether the patient might have addictive behaviors, or other relevant information, which can assist the best care for the patient.</w:t>
      </w:r>
    </w:p>
    <w:p w14:paraId="6D3CD9FE" w14:textId="77777777" w:rsidR="00C74BBA" w:rsidRPr="00C74BBA" w:rsidRDefault="00C74BBA" w:rsidP="00C74BBA">
      <w:pPr>
        <w:shd w:val="clear" w:color="auto" w:fill="FFFFFF"/>
        <w:spacing w:before="100" w:beforeAutospacing="1" w:after="100" w:afterAutospacing="1" w:line="240" w:lineRule="auto"/>
        <w:rPr>
          <w:rFonts w:ascii="Open Sans" w:eastAsia="Times New Roman" w:hAnsi="Open Sans" w:cs="Open Sans"/>
          <w:color w:val="262626"/>
          <w:sz w:val="21"/>
          <w:szCs w:val="21"/>
          <w:lang w:val="en-US"/>
        </w:rPr>
      </w:pPr>
      <w:r w:rsidRPr="00C74BBA">
        <w:rPr>
          <w:rFonts w:ascii="Open Sans" w:eastAsia="Times New Roman" w:hAnsi="Open Sans" w:cs="Open Sans"/>
          <w:color w:val="262626"/>
          <w:sz w:val="21"/>
          <w:szCs w:val="21"/>
          <w:lang w:val="en-US"/>
        </w:rPr>
        <w:t>Reference</w:t>
      </w:r>
    </w:p>
    <w:p w14:paraId="28BF6E60" w14:textId="77777777" w:rsidR="00C74BBA" w:rsidRPr="00C74BBA" w:rsidRDefault="00C74BBA" w:rsidP="00C74BBA">
      <w:pPr>
        <w:shd w:val="clear" w:color="auto" w:fill="FFFFFF"/>
        <w:spacing w:before="100" w:beforeAutospacing="1" w:after="100" w:afterAutospacing="1" w:line="240" w:lineRule="auto"/>
        <w:rPr>
          <w:rFonts w:ascii="Open Sans" w:eastAsia="Times New Roman" w:hAnsi="Open Sans" w:cs="Open Sans"/>
          <w:color w:val="262626"/>
          <w:sz w:val="21"/>
          <w:szCs w:val="21"/>
          <w:lang w:val="en-US"/>
        </w:rPr>
      </w:pPr>
      <w:r w:rsidRPr="00C74BBA">
        <w:rPr>
          <w:rFonts w:ascii="Open Sans" w:eastAsia="Times New Roman" w:hAnsi="Open Sans" w:cs="Open Sans"/>
          <w:color w:val="262626"/>
          <w:sz w:val="21"/>
          <w:szCs w:val="21"/>
          <w:lang w:val="en-US"/>
        </w:rPr>
        <w:t xml:space="preserve">Davies, E. A., &amp; </w:t>
      </w:r>
      <w:proofErr w:type="spellStart"/>
      <w:r w:rsidRPr="00C74BBA">
        <w:rPr>
          <w:rFonts w:ascii="Open Sans" w:eastAsia="Times New Roman" w:hAnsi="Open Sans" w:cs="Open Sans"/>
          <w:color w:val="262626"/>
          <w:sz w:val="21"/>
          <w:szCs w:val="21"/>
          <w:lang w:val="en-US"/>
        </w:rPr>
        <w:t>O'mahony</w:t>
      </w:r>
      <w:proofErr w:type="spellEnd"/>
      <w:r w:rsidRPr="00C74BBA">
        <w:rPr>
          <w:rFonts w:ascii="Open Sans" w:eastAsia="Times New Roman" w:hAnsi="Open Sans" w:cs="Open Sans"/>
          <w:color w:val="262626"/>
          <w:sz w:val="21"/>
          <w:szCs w:val="21"/>
          <w:lang w:val="en-US"/>
        </w:rPr>
        <w:t>, M. S. (2015). Adverse drug reactions in special populations–the elderly. British journal of clinical pharmacology, 80(4), 796-807.</w:t>
      </w:r>
    </w:p>
    <w:p w14:paraId="63AF05B1" w14:textId="77777777" w:rsidR="00C74BBA" w:rsidRPr="00C74BBA" w:rsidRDefault="00C74BBA" w:rsidP="00C74BBA">
      <w:pPr>
        <w:shd w:val="clear" w:color="auto" w:fill="FFFFFF"/>
        <w:spacing w:before="100" w:beforeAutospacing="1" w:after="100" w:afterAutospacing="1" w:line="240" w:lineRule="auto"/>
        <w:rPr>
          <w:rFonts w:ascii="Open Sans" w:eastAsia="Times New Roman" w:hAnsi="Open Sans" w:cs="Open Sans"/>
          <w:color w:val="262626"/>
          <w:sz w:val="21"/>
          <w:szCs w:val="21"/>
          <w:lang w:val="en-US"/>
        </w:rPr>
      </w:pPr>
      <w:r w:rsidRPr="00C74BBA">
        <w:rPr>
          <w:rFonts w:ascii="Open Sans" w:eastAsia="Times New Roman" w:hAnsi="Open Sans" w:cs="Open Sans"/>
          <w:color w:val="262626"/>
          <w:sz w:val="21"/>
          <w:szCs w:val="21"/>
          <w:lang w:val="en-US"/>
        </w:rPr>
        <w:t xml:space="preserve">Reeve, E., Trenaman, S. C., Rockwood, K., &amp; </w:t>
      </w:r>
      <w:proofErr w:type="spellStart"/>
      <w:r w:rsidRPr="00C74BBA">
        <w:rPr>
          <w:rFonts w:ascii="Open Sans" w:eastAsia="Times New Roman" w:hAnsi="Open Sans" w:cs="Open Sans"/>
          <w:color w:val="262626"/>
          <w:sz w:val="21"/>
          <w:szCs w:val="21"/>
          <w:lang w:val="en-US"/>
        </w:rPr>
        <w:t>Hilmer</w:t>
      </w:r>
      <w:proofErr w:type="spellEnd"/>
      <w:r w:rsidRPr="00C74BBA">
        <w:rPr>
          <w:rFonts w:ascii="Open Sans" w:eastAsia="Times New Roman" w:hAnsi="Open Sans" w:cs="Open Sans"/>
          <w:color w:val="262626"/>
          <w:sz w:val="21"/>
          <w:szCs w:val="21"/>
          <w:lang w:val="en-US"/>
        </w:rPr>
        <w:t>, S. N. (2017). Pharmacokinetic and pharmacodynamic alterations in older people with dementia. Expert opinion on drug metabolism &amp; toxicology, 13(6), 651-668.</w:t>
      </w:r>
    </w:p>
    <w:p w14:paraId="0C2E2508" w14:textId="77777777" w:rsidR="00C74BBA" w:rsidRPr="00C74BBA" w:rsidRDefault="00C74BBA" w:rsidP="00C74BBA">
      <w:pPr>
        <w:shd w:val="clear" w:color="auto" w:fill="FFFFFF"/>
        <w:spacing w:before="100" w:beforeAutospacing="1" w:after="100" w:afterAutospacing="1" w:line="240" w:lineRule="auto"/>
        <w:rPr>
          <w:rFonts w:ascii="Open Sans" w:eastAsia="Times New Roman" w:hAnsi="Open Sans" w:cs="Open Sans"/>
          <w:color w:val="262626"/>
          <w:sz w:val="21"/>
          <w:szCs w:val="21"/>
          <w:lang w:val="en-US"/>
        </w:rPr>
      </w:pPr>
      <w:r w:rsidRPr="00C74BBA">
        <w:rPr>
          <w:rFonts w:ascii="Open Sans" w:eastAsia="Times New Roman" w:hAnsi="Open Sans" w:cs="Open Sans"/>
          <w:color w:val="262626"/>
          <w:sz w:val="21"/>
          <w:szCs w:val="21"/>
          <w:lang w:val="en-US"/>
        </w:rPr>
        <w:t>Rolland, Y., &amp; Morley, J. E. (2016). Frailty and polypharmacy. </w:t>
      </w:r>
    </w:p>
    <w:p w14:paraId="2258E51B" w14:textId="77777777" w:rsidR="00C74BBA" w:rsidRPr="00C74BBA" w:rsidRDefault="00C74BBA" w:rsidP="00C74BBA">
      <w:pPr>
        <w:shd w:val="clear" w:color="auto" w:fill="FFFFFF"/>
        <w:spacing w:before="100" w:beforeAutospacing="1" w:after="100" w:afterAutospacing="1" w:line="240" w:lineRule="auto"/>
        <w:jc w:val="center"/>
        <w:rPr>
          <w:rFonts w:ascii="Open Sans" w:eastAsia="Times New Roman" w:hAnsi="Open Sans" w:cs="Open Sans"/>
          <w:color w:val="262626"/>
          <w:sz w:val="21"/>
          <w:szCs w:val="21"/>
          <w:lang w:val="en-US"/>
        </w:rPr>
      </w:pPr>
      <w:r w:rsidRPr="00C74BBA">
        <w:rPr>
          <w:rFonts w:ascii="Open Sans" w:eastAsia="Times New Roman" w:hAnsi="Open Sans" w:cs="Open Sans"/>
          <w:b/>
          <w:bCs/>
          <w:color w:val="262626"/>
          <w:sz w:val="21"/>
          <w:szCs w:val="21"/>
          <w:lang w:val="en-US"/>
        </w:rPr>
        <w:lastRenderedPageBreak/>
        <w:t xml:space="preserve">Wendy </w:t>
      </w:r>
      <w:proofErr w:type="spellStart"/>
      <w:r w:rsidRPr="00C74BBA">
        <w:rPr>
          <w:rFonts w:ascii="Open Sans" w:eastAsia="Times New Roman" w:hAnsi="Open Sans" w:cs="Open Sans"/>
          <w:b/>
          <w:bCs/>
          <w:color w:val="262626"/>
          <w:sz w:val="21"/>
          <w:szCs w:val="21"/>
          <w:lang w:val="en-US"/>
        </w:rPr>
        <w:t>Pelegrin</w:t>
      </w:r>
      <w:proofErr w:type="spellEnd"/>
      <w:r w:rsidRPr="00C74BBA">
        <w:rPr>
          <w:rFonts w:ascii="Open Sans" w:eastAsia="Times New Roman" w:hAnsi="Open Sans" w:cs="Open Sans"/>
          <w:b/>
          <w:bCs/>
          <w:color w:val="262626"/>
          <w:sz w:val="21"/>
          <w:szCs w:val="21"/>
          <w:lang w:val="en-US"/>
        </w:rPr>
        <w:t xml:space="preserve"> </w:t>
      </w:r>
    </w:p>
    <w:p w14:paraId="4D7031A8" w14:textId="77777777" w:rsidR="00C74BBA" w:rsidRPr="00C74BBA" w:rsidRDefault="00C74BBA" w:rsidP="00C74BBA">
      <w:pPr>
        <w:shd w:val="clear" w:color="auto" w:fill="FFFFFF"/>
        <w:spacing w:before="100" w:beforeAutospacing="1" w:after="100" w:afterAutospacing="1" w:line="240" w:lineRule="auto"/>
        <w:rPr>
          <w:rFonts w:ascii="Open Sans" w:eastAsia="Times New Roman" w:hAnsi="Open Sans" w:cs="Open Sans"/>
          <w:color w:val="262626"/>
          <w:sz w:val="21"/>
          <w:szCs w:val="21"/>
          <w:lang w:val="en-US"/>
        </w:rPr>
      </w:pPr>
      <w:r w:rsidRPr="00C74BBA">
        <w:rPr>
          <w:rFonts w:ascii="Open Sans" w:eastAsia="Times New Roman" w:hAnsi="Open Sans" w:cs="Open Sans"/>
          <w:b/>
          <w:bCs/>
          <w:color w:val="262626"/>
          <w:sz w:val="21"/>
          <w:szCs w:val="21"/>
          <w:lang w:val="en-US"/>
        </w:rPr>
        <w:t xml:space="preserve">Discuss two (2) common risk factors for polypharmacy. </w:t>
      </w:r>
    </w:p>
    <w:p w14:paraId="4CF505E2" w14:textId="77777777" w:rsidR="00C74BBA" w:rsidRPr="00C74BBA" w:rsidRDefault="00C74BBA" w:rsidP="00C74BBA">
      <w:pPr>
        <w:shd w:val="clear" w:color="auto" w:fill="FFFFFF"/>
        <w:spacing w:before="100" w:beforeAutospacing="1" w:after="100" w:afterAutospacing="1" w:line="240" w:lineRule="auto"/>
        <w:rPr>
          <w:rFonts w:ascii="Open Sans" w:eastAsia="Times New Roman" w:hAnsi="Open Sans" w:cs="Open Sans"/>
          <w:color w:val="262626"/>
          <w:sz w:val="21"/>
          <w:szCs w:val="21"/>
          <w:lang w:val="en-US"/>
        </w:rPr>
      </w:pPr>
      <w:r w:rsidRPr="00C74BBA">
        <w:rPr>
          <w:rFonts w:ascii="Open Sans" w:eastAsia="Times New Roman" w:hAnsi="Open Sans" w:cs="Open Sans"/>
          <w:color w:val="262626"/>
          <w:sz w:val="21"/>
          <w:szCs w:val="21"/>
          <w:lang w:val="en-US"/>
        </w:rPr>
        <w:t>One of the most common risk factors for polypharmacy is the absence of a strong patient-physician relationship. This can be due to multiple reasons, such as patients not having a primary care provider or having multiple physicians, which can lead to communication issues between patient and physician. Another common risk factor is when patients do not have access to medications and cannot get refills on time. This can lead to patients having to seek out other options, such as going through the internet or trying to get prescriptions from other physicians. This can also lead to patients taking medications that may be harmful or not prescribed by their actual physician.</w:t>
      </w:r>
    </w:p>
    <w:p w14:paraId="6EEF81D2" w14:textId="04D9DC93" w:rsidR="00C74BBA" w:rsidRPr="00C74BBA" w:rsidRDefault="00C74BBA" w:rsidP="00C74BBA">
      <w:pPr>
        <w:shd w:val="clear" w:color="auto" w:fill="FFFFFF"/>
        <w:spacing w:before="100" w:beforeAutospacing="1" w:after="100" w:afterAutospacing="1" w:line="240" w:lineRule="auto"/>
        <w:rPr>
          <w:rFonts w:ascii="Open Sans" w:eastAsia="Times New Roman" w:hAnsi="Open Sans" w:cs="Open Sans"/>
          <w:color w:val="262626"/>
          <w:sz w:val="21"/>
          <w:szCs w:val="21"/>
          <w:lang w:val="en-US"/>
        </w:rPr>
      </w:pPr>
      <w:r w:rsidRPr="00C74BBA">
        <w:rPr>
          <w:rFonts w:ascii="Open Sans" w:eastAsia="Times New Roman" w:hAnsi="Open Sans" w:cs="Open Sans"/>
          <w:color w:val="262626"/>
          <w:sz w:val="21"/>
          <w:szCs w:val="21"/>
          <w:lang w:val="en-US"/>
        </w:rPr>
        <w:t>A third common risk factor is when patients are not properly educated on how to take their medications properly. They may not understand how long they should take a medication or how often they should take it. Patients who do not understand how and when they should take their medications may end up over-medicating themselves, which can lead to negative side effects and even addiction issues in some cases</w:t>
      </w:r>
      <w:r w:rsidRPr="00C74BBA">
        <w:rPr>
          <w:rFonts w:ascii="Open Sans" w:eastAsia="Times New Roman" w:hAnsi="Open Sans" w:cs="Open Sans"/>
          <w:color w:val="333333"/>
          <w:sz w:val="21"/>
          <w:szCs w:val="21"/>
          <w:lang w:val="en-US"/>
        </w:rPr>
        <w:t xml:space="preserve"> (Holmes, 2012,)</w:t>
      </w:r>
      <w:r w:rsidRPr="00C74BBA">
        <w:rPr>
          <w:rFonts w:ascii="Open Sans" w:eastAsia="Times New Roman" w:hAnsi="Open Sans" w:cs="Open Sans"/>
          <w:color w:val="262626"/>
          <w:sz w:val="21"/>
          <w:szCs w:val="21"/>
          <w:lang w:val="en-US"/>
        </w:rPr>
        <w:t>.</w:t>
      </w:r>
    </w:p>
    <w:p w14:paraId="3CAEB38F" w14:textId="77777777" w:rsidR="00C74BBA" w:rsidRPr="00C74BBA" w:rsidRDefault="00C74BBA" w:rsidP="00C74BBA">
      <w:pPr>
        <w:shd w:val="clear" w:color="auto" w:fill="FFFFFF"/>
        <w:spacing w:before="100" w:beforeAutospacing="1" w:after="100" w:afterAutospacing="1" w:line="240" w:lineRule="auto"/>
        <w:rPr>
          <w:rFonts w:ascii="Open Sans" w:eastAsia="Times New Roman" w:hAnsi="Open Sans" w:cs="Open Sans"/>
          <w:color w:val="262626"/>
          <w:sz w:val="21"/>
          <w:szCs w:val="21"/>
          <w:lang w:val="en-US"/>
        </w:rPr>
      </w:pPr>
      <w:r w:rsidRPr="00C74BBA">
        <w:rPr>
          <w:rFonts w:ascii="Open Sans" w:eastAsia="Times New Roman" w:hAnsi="Open Sans" w:cs="Open Sans"/>
          <w:b/>
          <w:bCs/>
          <w:color w:val="262626"/>
          <w:sz w:val="21"/>
          <w:szCs w:val="21"/>
          <w:lang w:val="en-US"/>
        </w:rPr>
        <w:t>Discuss two interventions you can take as a Nurse Practitioner in your clinical practice to prevent polypharmacy and its complications.</w:t>
      </w:r>
    </w:p>
    <w:p w14:paraId="39357029" w14:textId="77777777" w:rsidR="00C74BBA" w:rsidRPr="00C74BBA" w:rsidRDefault="00C74BBA" w:rsidP="00C74BBA">
      <w:pPr>
        <w:shd w:val="clear" w:color="auto" w:fill="FFFFFF"/>
        <w:spacing w:before="100" w:beforeAutospacing="1" w:after="100" w:afterAutospacing="1" w:line="240" w:lineRule="auto"/>
        <w:rPr>
          <w:rFonts w:ascii="Open Sans" w:eastAsia="Times New Roman" w:hAnsi="Open Sans" w:cs="Open Sans"/>
          <w:color w:val="262626"/>
          <w:sz w:val="21"/>
          <w:szCs w:val="21"/>
          <w:lang w:val="en-US"/>
        </w:rPr>
      </w:pPr>
      <w:r w:rsidRPr="00C74BBA">
        <w:rPr>
          <w:rFonts w:ascii="Open Sans" w:eastAsia="Times New Roman" w:hAnsi="Open Sans" w:cs="Open Sans"/>
          <w:color w:val="262626"/>
          <w:sz w:val="21"/>
          <w:szCs w:val="21"/>
          <w:lang w:val="en-US"/>
        </w:rPr>
        <w:t>There are a few interventions you can take as a Nurse Practitioner to prevent polypharmacy and its complications.</w:t>
      </w:r>
    </w:p>
    <w:p w14:paraId="2EEA10AE" w14:textId="77777777" w:rsidR="00C74BBA" w:rsidRPr="00C74BBA" w:rsidRDefault="00C74BBA" w:rsidP="00C74BBA">
      <w:pPr>
        <w:shd w:val="clear" w:color="auto" w:fill="FFFFFF"/>
        <w:spacing w:before="100" w:beforeAutospacing="1" w:after="100" w:afterAutospacing="1" w:line="240" w:lineRule="auto"/>
        <w:rPr>
          <w:rFonts w:ascii="Open Sans" w:eastAsia="Times New Roman" w:hAnsi="Open Sans" w:cs="Open Sans"/>
          <w:color w:val="262626"/>
          <w:sz w:val="21"/>
          <w:szCs w:val="21"/>
          <w:lang w:val="en-US"/>
        </w:rPr>
      </w:pPr>
      <w:r w:rsidRPr="00C74BBA">
        <w:rPr>
          <w:rFonts w:ascii="Open Sans" w:eastAsia="Times New Roman" w:hAnsi="Open Sans" w:cs="Open Sans"/>
          <w:color w:val="262626"/>
          <w:sz w:val="21"/>
          <w:szCs w:val="21"/>
          <w:lang w:val="en-US"/>
        </w:rPr>
        <w:t>1. Diagnose the problem</w:t>
      </w:r>
    </w:p>
    <w:p w14:paraId="648EB6C1" w14:textId="77777777" w:rsidR="00C74BBA" w:rsidRPr="00C74BBA" w:rsidRDefault="00C74BBA" w:rsidP="00C74BBA">
      <w:pPr>
        <w:shd w:val="clear" w:color="auto" w:fill="FFFFFF"/>
        <w:spacing w:before="100" w:beforeAutospacing="1" w:after="100" w:afterAutospacing="1" w:line="240" w:lineRule="auto"/>
        <w:rPr>
          <w:rFonts w:ascii="Open Sans" w:eastAsia="Times New Roman" w:hAnsi="Open Sans" w:cs="Open Sans"/>
          <w:color w:val="262626"/>
          <w:sz w:val="21"/>
          <w:szCs w:val="21"/>
          <w:lang w:val="en-US"/>
        </w:rPr>
      </w:pPr>
      <w:r w:rsidRPr="00C74BBA">
        <w:rPr>
          <w:rFonts w:ascii="Open Sans" w:eastAsia="Times New Roman" w:hAnsi="Open Sans" w:cs="Open Sans"/>
          <w:color w:val="262626"/>
          <w:sz w:val="21"/>
          <w:szCs w:val="21"/>
          <w:lang w:val="en-US"/>
        </w:rPr>
        <w:t>The first step is to diagnose the patient's problems and determine what medications they are taking. This is done by asking questions about their symptoms and their medical history. The nurse practitioner should also review all past prescriptions, including over-the-counter drugs. Before starting any new medication, the nurse practitioner needs to know if the patient has any allergies or other conditions that could affect their response to the medication. The nurse practitioner can then assess which medications are necessary and which ones should be stopped or changed in some way.</w:t>
      </w:r>
    </w:p>
    <w:p w14:paraId="4A11D644" w14:textId="77777777" w:rsidR="00C74BBA" w:rsidRPr="00C74BBA" w:rsidRDefault="00C74BBA" w:rsidP="00C74BBA">
      <w:pPr>
        <w:numPr>
          <w:ilvl w:val="0"/>
          <w:numId w:val="3"/>
        </w:numPr>
        <w:shd w:val="clear" w:color="auto" w:fill="FFFFFF"/>
        <w:spacing w:after="0" w:line="240" w:lineRule="auto"/>
        <w:rPr>
          <w:rFonts w:ascii="Open Sans" w:eastAsia="Times New Roman" w:hAnsi="Open Sans" w:cs="Open Sans"/>
          <w:color w:val="262626"/>
          <w:sz w:val="21"/>
          <w:szCs w:val="21"/>
          <w:lang w:val="en-US"/>
        </w:rPr>
      </w:pPr>
      <w:r w:rsidRPr="00C74BBA">
        <w:rPr>
          <w:rFonts w:ascii="Open Sans" w:eastAsia="Times New Roman" w:hAnsi="Open Sans" w:cs="Open Sans"/>
          <w:color w:val="262626"/>
          <w:sz w:val="21"/>
          <w:szCs w:val="21"/>
          <w:lang w:val="en-US"/>
        </w:rPr>
        <w:t>Educate patients on proper use of medications</w:t>
      </w:r>
    </w:p>
    <w:p w14:paraId="2955C3D3" w14:textId="77777777" w:rsidR="00C74BBA" w:rsidRPr="00C74BBA" w:rsidRDefault="00C74BBA" w:rsidP="00C74BBA">
      <w:pPr>
        <w:shd w:val="clear" w:color="auto" w:fill="FFFFFF"/>
        <w:spacing w:before="100" w:beforeAutospacing="1" w:after="100" w:afterAutospacing="1" w:line="240" w:lineRule="auto"/>
        <w:rPr>
          <w:rFonts w:ascii="Open Sans" w:eastAsia="Times New Roman" w:hAnsi="Open Sans" w:cs="Open Sans"/>
          <w:color w:val="262626"/>
          <w:sz w:val="21"/>
          <w:szCs w:val="21"/>
          <w:lang w:val="en-US"/>
        </w:rPr>
      </w:pPr>
      <w:r w:rsidRPr="00C74BBA">
        <w:rPr>
          <w:rFonts w:ascii="Open Sans" w:eastAsia="Times New Roman" w:hAnsi="Open Sans" w:cs="Open Sans"/>
          <w:color w:val="262626"/>
          <w:sz w:val="21"/>
          <w:szCs w:val="21"/>
          <w:lang w:val="en-US"/>
        </w:rPr>
        <w:t>Patients can help themselves by learning about their medications and following instructions on how to use them correctly. Some people do not know how often they should take their drugs or even where they should store them so they do not accidentally take too much or mix them with other drugs that could cause dangerous reactions when taken together. The nurse practitioner can teach patients how they should take their medications so they do not have adverse reactions or experience side effects from taking them at the wrong time</w:t>
      </w:r>
      <w:r w:rsidRPr="00C74BBA">
        <w:rPr>
          <w:rFonts w:ascii="Open Sans" w:eastAsia="Times New Roman" w:hAnsi="Open Sans" w:cs="Open Sans"/>
          <w:color w:val="333333"/>
          <w:sz w:val="21"/>
          <w:szCs w:val="21"/>
          <w:lang w:val="en-US"/>
        </w:rPr>
        <w:t xml:space="preserve"> (Ritsner, 2013)</w:t>
      </w:r>
      <w:r w:rsidRPr="00C74BBA">
        <w:rPr>
          <w:rFonts w:ascii="Open Sans" w:eastAsia="Times New Roman" w:hAnsi="Open Sans" w:cs="Open Sans"/>
          <w:color w:val="262626"/>
          <w:sz w:val="21"/>
          <w:szCs w:val="21"/>
          <w:lang w:val="en-US"/>
        </w:rPr>
        <w:t>.</w:t>
      </w:r>
    </w:p>
    <w:p w14:paraId="12404418" w14:textId="77777777" w:rsidR="00C74BBA" w:rsidRPr="00C74BBA" w:rsidRDefault="00C74BBA" w:rsidP="00C74BBA">
      <w:pPr>
        <w:shd w:val="clear" w:color="auto" w:fill="FFFFFF"/>
        <w:spacing w:before="100" w:beforeAutospacing="1" w:after="100" w:afterAutospacing="1" w:line="240" w:lineRule="auto"/>
        <w:jc w:val="center"/>
        <w:rPr>
          <w:rFonts w:ascii="Open Sans" w:eastAsia="Times New Roman" w:hAnsi="Open Sans" w:cs="Open Sans"/>
          <w:color w:val="262626"/>
          <w:sz w:val="21"/>
          <w:szCs w:val="21"/>
          <w:lang w:val="en-US"/>
        </w:rPr>
      </w:pPr>
      <w:r w:rsidRPr="00C74BBA">
        <w:rPr>
          <w:rFonts w:ascii="Open Sans" w:eastAsia="Times New Roman" w:hAnsi="Open Sans" w:cs="Open Sans"/>
          <w:color w:val="000000"/>
          <w:sz w:val="21"/>
          <w:szCs w:val="21"/>
          <w:lang w:val="en-US"/>
        </w:rPr>
        <w:t>References</w:t>
      </w:r>
    </w:p>
    <w:p w14:paraId="4680F7A7" w14:textId="77777777" w:rsidR="00C74BBA" w:rsidRPr="00C74BBA" w:rsidRDefault="00C74BBA" w:rsidP="00C74BBA">
      <w:pPr>
        <w:shd w:val="clear" w:color="auto" w:fill="FFFFFF"/>
        <w:spacing w:before="100" w:beforeAutospacing="1" w:after="100" w:afterAutospacing="1" w:line="240" w:lineRule="auto"/>
        <w:rPr>
          <w:rFonts w:ascii="Open Sans" w:eastAsia="Times New Roman" w:hAnsi="Open Sans" w:cs="Open Sans"/>
          <w:color w:val="262626"/>
          <w:sz w:val="21"/>
          <w:szCs w:val="21"/>
          <w:lang w:val="en-US"/>
        </w:rPr>
      </w:pPr>
      <w:r w:rsidRPr="00C74BBA">
        <w:rPr>
          <w:rFonts w:ascii="Open Sans" w:eastAsia="Times New Roman" w:hAnsi="Open Sans" w:cs="Open Sans"/>
          <w:color w:val="000000"/>
          <w:sz w:val="21"/>
          <w:szCs w:val="21"/>
          <w:lang w:val="en-US"/>
        </w:rPr>
        <w:lastRenderedPageBreak/>
        <w:t>Holmes, H. (2012). </w:t>
      </w:r>
      <w:r w:rsidRPr="00C74BBA">
        <w:rPr>
          <w:rFonts w:ascii="Open Sans" w:eastAsia="Times New Roman" w:hAnsi="Open Sans" w:cs="Open Sans"/>
          <w:i/>
          <w:iCs/>
          <w:color w:val="000000"/>
          <w:sz w:val="21"/>
          <w:szCs w:val="21"/>
          <w:lang w:val="en-US"/>
        </w:rPr>
        <w:t>Polypharmacy, an issue of clinics in geriatric medicine - E-book</w:t>
      </w:r>
      <w:r w:rsidRPr="00C74BBA">
        <w:rPr>
          <w:rFonts w:ascii="Open Sans" w:eastAsia="Times New Roman" w:hAnsi="Open Sans" w:cs="Open Sans"/>
          <w:color w:val="000000"/>
          <w:sz w:val="21"/>
          <w:szCs w:val="21"/>
          <w:lang w:val="en-US"/>
        </w:rPr>
        <w:t>. Elsevier Health Sciences.</w:t>
      </w:r>
    </w:p>
    <w:p w14:paraId="5CA99E94" w14:textId="77777777" w:rsidR="00C74BBA" w:rsidRPr="00C74BBA" w:rsidRDefault="00C74BBA" w:rsidP="00C74BBA">
      <w:pPr>
        <w:shd w:val="clear" w:color="auto" w:fill="FFFFFF"/>
        <w:spacing w:before="100" w:beforeAutospacing="1" w:after="100" w:afterAutospacing="1" w:line="240" w:lineRule="auto"/>
        <w:rPr>
          <w:rFonts w:ascii="Open Sans" w:eastAsia="Times New Roman" w:hAnsi="Open Sans" w:cs="Open Sans"/>
          <w:color w:val="262626"/>
          <w:sz w:val="21"/>
          <w:szCs w:val="21"/>
          <w:lang w:val="en-US"/>
        </w:rPr>
      </w:pPr>
      <w:r w:rsidRPr="00C74BBA">
        <w:rPr>
          <w:rFonts w:ascii="Open Sans" w:eastAsia="Times New Roman" w:hAnsi="Open Sans" w:cs="Open Sans"/>
          <w:color w:val="000000"/>
          <w:sz w:val="21"/>
          <w:szCs w:val="21"/>
          <w:lang w:val="en-US"/>
        </w:rPr>
        <w:t>Ritsner, M. S. (2013). </w:t>
      </w:r>
      <w:r w:rsidRPr="00C74BBA">
        <w:rPr>
          <w:rFonts w:ascii="Open Sans" w:eastAsia="Times New Roman" w:hAnsi="Open Sans" w:cs="Open Sans"/>
          <w:i/>
          <w:iCs/>
          <w:color w:val="000000"/>
          <w:sz w:val="21"/>
          <w:szCs w:val="21"/>
          <w:lang w:val="en-US"/>
        </w:rPr>
        <w:t>Polypharmacy in psychiatry practice, volume I: Multiple medication use strategies</w:t>
      </w:r>
      <w:r w:rsidRPr="00C74BBA">
        <w:rPr>
          <w:rFonts w:ascii="Open Sans" w:eastAsia="Times New Roman" w:hAnsi="Open Sans" w:cs="Open Sans"/>
          <w:color w:val="000000"/>
          <w:sz w:val="21"/>
          <w:szCs w:val="21"/>
          <w:lang w:val="en-US"/>
        </w:rPr>
        <w:t>. Springer Science &amp; Business Media.</w:t>
      </w:r>
    </w:p>
    <w:p w14:paraId="614F531C" w14:textId="34EFB172" w:rsidR="00B92054" w:rsidRDefault="00C74BBA" w:rsidP="00C74BBA">
      <w:pPr>
        <w:spacing w:line="240" w:lineRule="auto"/>
      </w:pPr>
    </w:p>
    <w:p w14:paraId="6A77252C" w14:textId="77DA031D" w:rsidR="00C74BBA" w:rsidRDefault="00C74BBA" w:rsidP="00C74BBA">
      <w:pPr>
        <w:spacing w:line="240" w:lineRule="auto"/>
      </w:pPr>
    </w:p>
    <w:p w14:paraId="01B67297" w14:textId="7FB26AA4" w:rsidR="00C74BBA" w:rsidRDefault="00C74BBA" w:rsidP="00C74BBA">
      <w:pPr>
        <w:spacing w:line="240" w:lineRule="auto"/>
      </w:pPr>
    </w:p>
    <w:p w14:paraId="7AB20644" w14:textId="1AA7661A" w:rsidR="00C74BBA" w:rsidRDefault="00C74BBA" w:rsidP="00C74BBA">
      <w:pPr>
        <w:spacing w:line="240" w:lineRule="auto"/>
      </w:pPr>
    </w:p>
    <w:p w14:paraId="2304AF9D" w14:textId="77777777" w:rsidR="00C74BBA" w:rsidRDefault="00C74BBA" w:rsidP="00C74BBA">
      <w:pPr>
        <w:spacing w:line="240" w:lineRule="auto"/>
      </w:pPr>
    </w:p>
    <w:p w14:paraId="7464F013" w14:textId="77777777" w:rsidR="00C74BBA" w:rsidRDefault="00C74BBA" w:rsidP="00C74BBA">
      <w:pPr>
        <w:pStyle w:val="NormalWeb"/>
        <w:shd w:val="clear" w:color="auto" w:fill="FFFFFF"/>
        <w:jc w:val="center"/>
        <w:rPr>
          <w:rFonts w:ascii="Open Sans" w:hAnsi="Open Sans" w:cs="Open Sans"/>
          <w:color w:val="262626"/>
          <w:sz w:val="21"/>
          <w:szCs w:val="21"/>
        </w:rPr>
      </w:pPr>
      <w:r>
        <w:rPr>
          <w:color w:val="262626"/>
          <w:sz w:val="21"/>
          <w:szCs w:val="21"/>
        </w:rPr>
        <w:t>Mayra Vazquez</w:t>
      </w:r>
    </w:p>
    <w:p w14:paraId="5F5B0E76" w14:textId="77777777" w:rsidR="00C74BBA" w:rsidRDefault="00C74BBA" w:rsidP="00C74BBA">
      <w:pPr>
        <w:pStyle w:val="NormalWeb"/>
        <w:shd w:val="clear" w:color="auto" w:fill="FFFFFF"/>
        <w:jc w:val="center"/>
        <w:rPr>
          <w:rFonts w:ascii="Open Sans" w:hAnsi="Open Sans" w:cs="Open Sans"/>
          <w:color w:val="262626"/>
          <w:sz w:val="21"/>
          <w:szCs w:val="21"/>
        </w:rPr>
      </w:pPr>
      <w:r>
        <w:rPr>
          <w:color w:val="262626"/>
          <w:sz w:val="21"/>
          <w:szCs w:val="21"/>
        </w:rPr>
        <w:t>Advanced Pharmacology</w:t>
      </w:r>
    </w:p>
    <w:p w14:paraId="4346A959" w14:textId="77777777" w:rsidR="00C74BBA" w:rsidRDefault="00C74BBA" w:rsidP="00C74BBA">
      <w:pPr>
        <w:pStyle w:val="NormalWeb"/>
        <w:shd w:val="clear" w:color="auto" w:fill="FFFFFF"/>
        <w:jc w:val="center"/>
        <w:rPr>
          <w:rFonts w:ascii="Open Sans" w:hAnsi="Open Sans" w:cs="Open Sans"/>
          <w:color w:val="262626"/>
          <w:sz w:val="21"/>
          <w:szCs w:val="21"/>
        </w:rPr>
      </w:pPr>
      <w:r>
        <w:rPr>
          <w:color w:val="262626"/>
          <w:sz w:val="21"/>
          <w:szCs w:val="21"/>
        </w:rPr>
        <w:t>Professor: Dr. Latoya Dotson</w:t>
      </w:r>
    </w:p>
    <w:p w14:paraId="08DB8511" w14:textId="77777777" w:rsidR="00C74BBA" w:rsidRDefault="00C74BBA" w:rsidP="00C74BBA">
      <w:pPr>
        <w:pStyle w:val="NormalWeb"/>
        <w:shd w:val="clear" w:color="auto" w:fill="FFFFFF"/>
        <w:jc w:val="center"/>
        <w:rPr>
          <w:rFonts w:ascii="Open Sans" w:hAnsi="Open Sans" w:cs="Open Sans"/>
          <w:color w:val="262626"/>
          <w:sz w:val="21"/>
          <w:szCs w:val="21"/>
        </w:rPr>
      </w:pPr>
      <w:r>
        <w:rPr>
          <w:color w:val="262626"/>
          <w:sz w:val="21"/>
          <w:szCs w:val="21"/>
        </w:rPr>
        <w:t>May 25, 2022</w:t>
      </w:r>
    </w:p>
    <w:p w14:paraId="720F39ED" w14:textId="05D1EE69" w:rsidR="00C74BBA" w:rsidRDefault="00C74BBA" w:rsidP="00C74BBA">
      <w:pPr>
        <w:pStyle w:val="NormalWeb"/>
        <w:shd w:val="clear" w:color="auto" w:fill="FFFFFF"/>
        <w:rPr>
          <w:rFonts w:ascii="Open Sans" w:hAnsi="Open Sans" w:cs="Open Sans"/>
          <w:color w:val="262626"/>
          <w:sz w:val="21"/>
          <w:szCs w:val="21"/>
        </w:rPr>
      </w:pPr>
    </w:p>
    <w:p w14:paraId="4D2E29DD" w14:textId="77777777" w:rsidR="00C74BBA" w:rsidRDefault="00C74BBA" w:rsidP="00C74BBA">
      <w:pPr>
        <w:pStyle w:val="NormalWeb"/>
        <w:shd w:val="clear" w:color="auto" w:fill="FFFFFF"/>
        <w:jc w:val="center"/>
        <w:rPr>
          <w:rFonts w:ascii="Open Sans" w:hAnsi="Open Sans" w:cs="Open Sans"/>
          <w:color w:val="262626"/>
          <w:sz w:val="21"/>
          <w:szCs w:val="21"/>
        </w:rPr>
      </w:pPr>
      <w:proofErr w:type="spellStart"/>
      <w:r>
        <w:rPr>
          <w:rStyle w:val="Strong"/>
          <w:color w:val="262626"/>
          <w:sz w:val="21"/>
          <w:szCs w:val="21"/>
        </w:rPr>
        <w:t>Poliypharmacy</w:t>
      </w:r>
      <w:proofErr w:type="spellEnd"/>
    </w:p>
    <w:p w14:paraId="143A0DBA" w14:textId="77777777" w:rsidR="00C74BBA" w:rsidRDefault="00C74BBA" w:rsidP="00C74BBA">
      <w:pPr>
        <w:pStyle w:val="NormalWeb"/>
        <w:shd w:val="clear" w:color="auto" w:fill="FFFFFF"/>
        <w:jc w:val="center"/>
        <w:rPr>
          <w:rFonts w:ascii="Open Sans" w:hAnsi="Open Sans" w:cs="Open Sans"/>
          <w:color w:val="262626"/>
          <w:sz w:val="21"/>
          <w:szCs w:val="21"/>
        </w:rPr>
      </w:pPr>
      <w:r>
        <w:rPr>
          <w:rStyle w:val="Strong"/>
          <w:color w:val="262626"/>
          <w:sz w:val="21"/>
          <w:szCs w:val="21"/>
        </w:rPr>
        <w:t>Common Risk Factors for Polypharmacy</w:t>
      </w:r>
    </w:p>
    <w:p w14:paraId="122D623A" w14:textId="77777777" w:rsidR="00C74BBA" w:rsidRDefault="00C74BBA" w:rsidP="00C74BBA">
      <w:pPr>
        <w:pStyle w:val="NormalWeb"/>
        <w:shd w:val="clear" w:color="auto" w:fill="FFFFFF"/>
        <w:rPr>
          <w:rFonts w:ascii="Open Sans" w:hAnsi="Open Sans" w:cs="Open Sans"/>
          <w:color w:val="262626"/>
          <w:sz w:val="21"/>
          <w:szCs w:val="21"/>
        </w:rPr>
      </w:pPr>
      <w:r>
        <w:rPr>
          <w:color w:val="262626"/>
          <w:sz w:val="21"/>
          <w:szCs w:val="21"/>
        </w:rPr>
        <w:t>The two common risk factors for polypharmacy include chronic conditions and depressive symptoms. However, older patients with chronic disorders are at greater risk of polypharmacy. From a certain point of view, obesity is associated with increased medications that may lead to chronic disorders. Older patients experiencing chronic conditions usually are associated with excessive use of drugs that increase the risk of polypharmacy (</w:t>
      </w:r>
      <w:proofErr w:type="spellStart"/>
      <w:r>
        <w:rPr>
          <w:color w:val="222222"/>
          <w:sz w:val="21"/>
          <w:szCs w:val="21"/>
        </w:rPr>
        <w:t>Rieckert</w:t>
      </w:r>
      <w:proofErr w:type="spellEnd"/>
      <w:r>
        <w:rPr>
          <w:color w:val="222222"/>
          <w:sz w:val="21"/>
          <w:szCs w:val="21"/>
        </w:rPr>
        <w:t>, et al, 2018)</w:t>
      </w:r>
      <w:r>
        <w:rPr>
          <w:color w:val="262626"/>
          <w:sz w:val="21"/>
          <w:szCs w:val="21"/>
        </w:rPr>
        <w:t>. Another risk factor associated with polypharmacy is depressive symptoms. Research indicates that older adults diagnosed with depressive disorders are highly associated with excessive polypharmacy (</w:t>
      </w:r>
      <w:proofErr w:type="spellStart"/>
      <w:r>
        <w:rPr>
          <w:color w:val="222222"/>
          <w:sz w:val="21"/>
          <w:szCs w:val="21"/>
        </w:rPr>
        <w:t>Ersoy</w:t>
      </w:r>
      <w:proofErr w:type="spellEnd"/>
      <w:r>
        <w:rPr>
          <w:color w:val="222222"/>
          <w:sz w:val="21"/>
          <w:szCs w:val="21"/>
        </w:rPr>
        <w:t xml:space="preserve"> &amp; </w:t>
      </w:r>
      <w:proofErr w:type="spellStart"/>
      <w:r>
        <w:rPr>
          <w:color w:val="222222"/>
          <w:sz w:val="21"/>
          <w:szCs w:val="21"/>
        </w:rPr>
        <w:t>Engin</w:t>
      </w:r>
      <w:proofErr w:type="spellEnd"/>
      <w:r>
        <w:rPr>
          <w:color w:val="222222"/>
          <w:sz w:val="21"/>
          <w:szCs w:val="21"/>
        </w:rPr>
        <w:t>, 2018</w:t>
      </w:r>
      <w:r>
        <w:rPr>
          <w:color w:val="262626"/>
          <w:sz w:val="21"/>
          <w:szCs w:val="21"/>
        </w:rPr>
        <w:t>). Furthermore, older patients with a history of depression are at higher risk of experiencing polypharmacy. Many nursing home residents have reported a significant association between depressive symptoms and polypharmacy. The chronic pain caused by depression causes polypharmacy in the older population.  </w:t>
      </w:r>
    </w:p>
    <w:p w14:paraId="721E13BF" w14:textId="77777777" w:rsidR="00C74BBA" w:rsidRDefault="00C74BBA" w:rsidP="00C74BBA">
      <w:pPr>
        <w:pStyle w:val="NormalWeb"/>
        <w:shd w:val="clear" w:color="auto" w:fill="FFFFFF"/>
        <w:jc w:val="center"/>
        <w:rPr>
          <w:rFonts w:ascii="Open Sans" w:hAnsi="Open Sans" w:cs="Open Sans"/>
          <w:color w:val="262626"/>
          <w:sz w:val="21"/>
          <w:szCs w:val="21"/>
        </w:rPr>
      </w:pPr>
      <w:r>
        <w:rPr>
          <w:rStyle w:val="Strong"/>
          <w:color w:val="262626"/>
          <w:sz w:val="21"/>
          <w:szCs w:val="21"/>
        </w:rPr>
        <w:t>Interventions</w:t>
      </w:r>
    </w:p>
    <w:p w14:paraId="06E88DF0" w14:textId="77777777" w:rsidR="00C74BBA" w:rsidRDefault="00C74BBA" w:rsidP="00C74BBA">
      <w:pPr>
        <w:pStyle w:val="NormalWeb"/>
        <w:shd w:val="clear" w:color="auto" w:fill="FFFFFF"/>
        <w:rPr>
          <w:rFonts w:ascii="Open Sans" w:hAnsi="Open Sans" w:cs="Open Sans"/>
          <w:color w:val="262626"/>
          <w:sz w:val="21"/>
          <w:szCs w:val="21"/>
        </w:rPr>
      </w:pPr>
      <w:r>
        <w:rPr>
          <w:color w:val="262626"/>
          <w:sz w:val="21"/>
          <w:szCs w:val="21"/>
        </w:rPr>
        <w:t>Counseling is the intervention you can take as a Nurse Practitioner in clinical practice to prevent polypharmacy. However, this counseling is performed during the hospital stay, where the nurse guides the patient about the medical prescription (</w:t>
      </w:r>
      <w:r>
        <w:rPr>
          <w:color w:val="222222"/>
          <w:sz w:val="21"/>
          <w:szCs w:val="21"/>
        </w:rPr>
        <w:t>Rankin, 2018)</w:t>
      </w:r>
      <w:r>
        <w:rPr>
          <w:color w:val="262626"/>
          <w:sz w:val="21"/>
          <w:szCs w:val="21"/>
        </w:rPr>
        <w:t xml:space="preserve">. The primary outcome of the counseling is to help monitor harmful or beneficial impacts for the patient from stopping medications. The counseling mostly focuses on optimal patient outcomes and effective medication adherence. Another intervention for preventing polypharmacy is the use of computer data entry and feedback procedures. Notably, this computerized decision support greatly improves appropriate polypharmacy in older adults. The method effectively ensures the </w:t>
      </w:r>
      <w:r>
        <w:rPr>
          <w:color w:val="262626"/>
          <w:sz w:val="21"/>
          <w:szCs w:val="21"/>
        </w:rPr>
        <w:lastRenderedPageBreak/>
        <w:t>improved patient quality of life and helps achieve definitive outcomes. Therefore, the two interventions are important for nurses to help prevent polypharmacy and its complications.</w:t>
      </w:r>
    </w:p>
    <w:p w14:paraId="55CFF24F" w14:textId="77777777" w:rsidR="00C74BBA" w:rsidRDefault="00C74BBA" w:rsidP="00C74BBA">
      <w:pPr>
        <w:pStyle w:val="NormalWeb"/>
        <w:shd w:val="clear" w:color="auto" w:fill="FFFFFF"/>
        <w:jc w:val="center"/>
        <w:rPr>
          <w:rFonts w:ascii="Open Sans" w:hAnsi="Open Sans" w:cs="Open Sans"/>
          <w:color w:val="262626"/>
          <w:sz w:val="21"/>
          <w:szCs w:val="21"/>
        </w:rPr>
      </w:pPr>
      <w:r>
        <w:rPr>
          <w:rStyle w:val="Strong"/>
          <w:color w:val="262626"/>
          <w:sz w:val="21"/>
          <w:szCs w:val="21"/>
        </w:rPr>
        <w:t>References</w:t>
      </w:r>
    </w:p>
    <w:p w14:paraId="258FB358" w14:textId="77777777" w:rsidR="00C74BBA" w:rsidRDefault="00C74BBA" w:rsidP="00C74BBA">
      <w:pPr>
        <w:pStyle w:val="NormalWeb"/>
        <w:shd w:val="clear" w:color="auto" w:fill="FFFFFF"/>
        <w:rPr>
          <w:rFonts w:ascii="Open Sans" w:hAnsi="Open Sans" w:cs="Open Sans"/>
          <w:color w:val="262626"/>
          <w:sz w:val="21"/>
          <w:szCs w:val="21"/>
        </w:rPr>
      </w:pPr>
      <w:proofErr w:type="spellStart"/>
      <w:r>
        <w:rPr>
          <w:color w:val="222222"/>
          <w:sz w:val="21"/>
          <w:szCs w:val="21"/>
        </w:rPr>
        <w:t>Ersoy</w:t>
      </w:r>
      <w:proofErr w:type="spellEnd"/>
      <w:r>
        <w:rPr>
          <w:color w:val="222222"/>
          <w:sz w:val="21"/>
          <w:szCs w:val="21"/>
        </w:rPr>
        <w:t xml:space="preserve">, S., &amp; </w:t>
      </w:r>
      <w:proofErr w:type="spellStart"/>
      <w:r>
        <w:rPr>
          <w:color w:val="222222"/>
          <w:sz w:val="21"/>
          <w:szCs w:val="21"/>
        </w:rPr>
        <w:t>Engin</w:t>
      </w:r>
      <w:proofErr w:type="spellEnd"/>
      <w:r>
        <w:rPr>
          <w:color w:val="222222"/>
          <w:sz w:val="21"/>
          <w:szCs w:val="21"/>
        </w:rPr>
        <w:t>, V. S. (2018). Risk factors for polypharmacy in older adults in a primary care setting: a cross-sectional study. </w:t>
      </w:r>
      <w:r>
        <w:rPr>
          <w:rStyle w:val="Emphasis"/>
          <w:color w:val="222222"/>
          <w:sz w:val="21"/>
          <w:szCs w:val="21"/>
        </w:rPr>
        <w:t>Clinical interventions in aging</w:t>
      </w:r>
      <w:r>
        <w:rPr>
          <w:color w:val="222222"/>
          <w:sz w:val="21"/>
          <w:szCs w:val="21"/>
        </w:rPr>
        <w:t>, </w:t>
      </w:r>
      <w:r>
        <w:rPr>
          <w:rStyle w:val="Emphasis"/>
          <w:color w:val="222222"/>
          <w:sz w:val="21"/>
          <w:szCs w:val="21"/>
        </w:rPr>
        <w:t>13</w:t>
      </w:r>
      <w:r>
        <w:rPr>
          <w:color w:val="222222"/>
          <w:sz w:val="21"/>
          <w:szCs w:val="21"/>
        </w:rPr>
        <w:t>, 2003.</w:t>
      </w:r>
      <w:r>
        <w:rPr>
          <w:color w:val="262626"/>
          <w:sz w:val="21"/>
          <w:szCs w:val="21"/>
        </w:rPr>
        <w:t> </w:t>
      </w:r>
    </w:p>
    <w:p w14:paraId="14DFFE01" w14:textId="77777777" w:rsidR="00C74BBA" w:rsidRDefault="00C74BBA" w:rsidP="00C74BBA">
      <w:pPr>
        <w:pStyle w:val="NormalWeb"/>
        <w:shd w:val="clear" w:color="auto" w:fill="FFFFFF"/>
        <w:rPr>
          <w:rFonts w:ascii="Open Sans" w:hAnsi="Open Sans" w:cs="Open Sans"/>
          <w:color w:val="262626"/>
          <w:sz w:val="21"/>
          <w:szCs w:val="21"/>
        </w:rPr>
      </w:pPr>
      <w:r>
        <w:rPr>
          <w:color w:val="222222"/>
          <w:sz w:val="21"/>
          <w:szCs w:val="21"/>
        </w:rPr>
        <w:t>Rankin, A. (2018). Interventions to improve the appropriate use of polypharmacy for older people. Cochrane Database of Systematic Reviews.</w:t>
      </w:r>
    </w:p>
    <w:p w14:paraId="70202754" w14:textId="77777777" w:rsidR="00C74BBA" w:rsidRDefault="00C74BBA" w:rsidP="00C74BBA">
      <w:pPr>
        <w:pStyle w:val="NormalWeb"/>
        <w:shd w:val="clear" w:color="auto" w:fill="FFFFFF"/>
        <w:rPr>
          <w:rFonts w:ascii="Open Sans" w:hAnsi="Open Sans" w:cs="Open Sans"/>
          <w:color w:val="262626"/>
          <w:sz w:val="21"/>
          <w:szCs w:val="21"/>
        </w:rPr>
      </w:pPr>
      <w:proofErr w:type="spellStart"/>
      <w:r>
        <w:rPr>
          <w:color w:val="222222"/>
          <w:sz w:val="21"/>
          <w:szCs w:val="21"/>
        </w:rPr>
        <w:t>Rieckert</w:t>
      </w:r>
      <w:proofErr w:type="spellEnd"/>
      <w:r>
        <w:rPr>
          <w:color w:val="222222"/>
          <w:sz w:val="21"/>
          <w:szCs w:val="21"/>
        </w:rPr>
        <w:t xml:space="preserve">, A., </w:t>
      </w:r>
      <w:proofErr w:type="spellStart"/>
      <w:r>
        <w:rPr>
          <w:color w:val="222222"/>
          <w:sz w:val="21"/>
          <w:szCs w:val="21"/>
        </w:rPr>
        <w:t>Trampisch</w:t>
      </w:r>
      <w:proofErr w:type="spellEnd"/>
      <w:r>
        <w:rPr>
          <w:color w:val="222222"/>
          <w:sz w:val="21"/>
          <w:szCs w:val="21"/>
        </w:rPr>
        <w:t xml:space="preserve">, U. S., </w:t>
      </w:r>
      <w:proofErr w:type="spellStart"/>
      <w:r>
        <w:rPr>
          <w:color w:val="222222"/>
          <w:sz w:val="21"/>
          <w:szCs w:val="21"/>
        </w:rPr>
        <w:t>Klaaßen</w:t>
      </w:r>
      <w:proofErr w:type="spellEnd"/>
      <w:r>
        <w:rPr>
          <w:color w:val="222222"/>
          <w:sz w:val="21"/>
          <w:szCs w:val="21"/>
        </w:rPr>
        <w:t xml:space="preserve">-Mielke, R., </w:t>
      </w:r>
      <w:proofErr w:type="spellStart"/>
      <w:r>
        <w:rPr>
          <w:color w:val="222222"/>
          <w:sz w:val="21"/>
          <w:szCs w:val="21"/>
        </w:rPr>
        <w:t>Drewelow</w:t>
      </w:r>
      <w:proofErr w:type="spellEnd"/>
      <w:r>
        <w:rPr>
          <w:color w:val="222222"/>
          <w:sz w:val="21"/>
          <w:szCs w:val="21"/>
        </w:rPr>
        <w:t xml:space="preserve">, E., Esmail, A., Johansson, T., ... &amp; </w:t>
      </w:r>
      <w:proofErr w:type="spellStart"/>
      <w:r>
        <w:rPr>
          <w:color w:val="222222"/>
          <w:sz w:val="21"/>
          <w:szCs w:val="21"/>
        </w:rPr>
        <w:t>Sönnichsen</w:t>
      </w:r>
      <w:proofErr w:type="spellEnd"/>
      <w:r>
        <w:rPr>
          <w:color w:val="222222"/>
          <w:sz w:val="21"/>
          <w:szCs w:val="21"/>
        </w:rPr>
        <w:t>, A. (2018). Polypharmacy in older patients with chronic diseases: a cross-sectional analysis of factors associated with excessive polypharmacy. </w:t>
      </w:r>
      <w:r>
        <w:rPr>
          <w:rStyle w:val="Emphasis"/>
          <w:color w:val="222222"/>
          <w:sz w:val="21"/>
          <w:szCs w:val="21"/>
        </w:rPr>
        <w:t>BMC family practice</w:t>
      </w:r>
      <w:r>
        <w:rPr>
          <w:color w:val="222222"/>
          <w:sz w:val="21"/>
          <w:szCs w:val="21"/>
        </w:rPr>
        <w:t>, </w:t>
      </w:r>
      <w:r>
        <w:rPr>
          <w:rStyle w:val="Emphasis"/>
          <w:color w:val="222222"/>
          <w:sz w:val="21"/>
          <w:szCs w:val="21"/>
        </w:rPr>
        <w:t>19</w:t>
      </w:r>
      <w:r>
        <w:rPr>
          <w:color w:val="222222"/>
          <w:sz w:val="21"/>
          <w:szCs w:val="21"/>
        </w:rPr>
        <w:t>(1), 1-9.</w:t>
      </w:r>
    </w:p>
    <w:p w14:paraId="4C0A68FC" w14:textId="6DEF0DD8" w:rsidR="00C74BBA" w:rsidRDefault="00C74BBA" w:rsidP="00C74BBA">
      <w:pPr>
        <w:spacing w:line="240" w:lineRule="auto"/>
      </w:pPr>
    </w:p>
    <w:p w14:paraId="06F2FF66" w14:textId="333C9D22" w:rsidR="00C74BBA" w:rsidRDefault="00C74BBA" w:rsidP="00C74BBA">
      <w:pPr>
        <w:spacing w:line="240" w:lineRule="auto"/>
      </w:pPr>
    </w:p>
    <w:p w14:paraId="3764FA38" w14:textId="4DA49174" w:rsidR="00C74BBA" w:rsidRDefault="00C74BBA" w:rsidP="00C74BBA">
      <w:pPr>
        <w:spacing w:line="240" w:lineRule="auto"/>
      </w:pPr>
    </w:p>
    <w:p w14:paraId="3D6CE9CE" w14:textId="16525570" w:rsidR="00C74BBA" w:rsidRDefault="00C74BBA" w:rsidP="00C74BBA">
      <w:pPr>
        <w:spacing w:line="240" w:lineRule="auto"/>
      </w:pPr>
    </w:p>
    <w:p w14:paraId="6FA455BE" w14:textId="0E7A52BC" w:rsidR="00C74BBA" w:rsidRDefault="00C74BBA" w:rsidP="00C74BBA">
      <w:pPr>
        <w:spacing w:line="240" w:lineRule="auto"/>
        <w:jc w:val="center"/>
      </w:pPr>
    </w:p>
    <w:p w14:paraId="05C4C1C1" w14:textId="409E19EF" w:rsidR="00C74BBA" w:rsidRDefault="00C74BBA" w:rsidP="00C74BBA">
      <w:pPr>
        <w:spacing w:line="240" w:lineRule="auto"/>
        <w:jc w:val="center"/>
      </w:pPr>
      <w:r>
        <w:rPr>
          <w:rFonts w:ascii="Open Sans" w:hAnsi="Open Sans" w:cs="Open Sans"/>
          <w:b/>
          <w:bCs/>
          <w:color w:val="262626"/>
          <w:sz w:val="21"/>
          <w:szCs w:val="21"/>
          <w:shd w:val="clear" w:color="auto" w:fill="FFFFFF"/>
        </w:rPr>
        <w:t xml:space="preserve">Jose </w:t>
      </w:r>
      <w:proofErr w:type="spellStart"/>
      <w:r>
        <w:rPr>
          <w:rFonts w:ascii="Open Sans" w:hAnsi="Open Sans" w:cs="Open Sans"/>
          <w:b/>
          <w:bCs/>
          <w:color w:val="262626"/>
          <w:sz w:val="21"/>
          <w:szCs w:val="21"/>
          <w:shd w:val="clear" w:color="auto" w:fill="FFFFFF"/>
        </w:rPr>
        <w:t>Cardentey</w:t>
      </w:r>
      <w:proofErr w:type="spellEnd"/>
    </w:p>
    <w:p w14:paraId="6BBA87F1" w14:textId="77777777" w:rsidR="00C74BBA" w:rsidRDefault="00C74BBA" w:rsidP="00C74BBA">
      <w:pPr>
        <w:pStyle w:val="NormalWeb"/>
        <w:shd w:val="clear" w:color="auto" w:fill="FFFFFF"/>
        <w:jc w:val="center"/>
        <w:rPr>
          <w:rFonts w:ascii="Open Sans" w:hAnsi="Open Sans" w:cs="Open Sans"/>
          <w:color w:val="262626"/>
          <w:sz w:val="21"/>
          <w:szCs w:val="21"/>
        </w:rPr>
      </w:pPr>
      <w:r>
        <w:rPr>
          <w:rStyle w:val="Strong"/>
          <w:rFonts w:ascii="Open Sans" w:hAnsi="Open Sans" w:cs="Open Sans"/>
          <w:color w:val="262626"/>
          <w:sz w:val="21"/>
          <w:szCs w:val="21"/>
        </w:rPr>
        <w:t>Risk Factors of Polypharmacy</w:t>
      </w:r>
    </w:p>
    <w:p w14:paraId="6DFE0708" w14:textId="77777777" w:rsidR="00C74BBA" w:rsidRDefault="00C74BBA" w:rsidP="00C74BBA">
      <w:pPr>
        <w:pStyle w:val="NormalWeb"/>
        <w:shd w:val="clear" w:color="auto" w:fill="FFFFFF"/>
        <w:jc w:val="both"/>
        <w:rPr>
          <w:rFonts w:ascii="Open Sans" w:hAnsi="Open Sans" w:cs="Open Sans"/>
          <w:color w:val="262626"/>
          <w:sz w:val="21"/>
          <w:szCs w:val="21"/>
        </w:rPr>
      </w:pPr>
      <w:r>
        <w:rPr>
          <w:rStyle w:val="Strong"/>
          <w:rFonts w:ascii="Open Sans" w:hAnsi="Open Sans" w:cs="Open Sans"/>
          <w:color w:val="262626"/>
          <w:sz w:val="21"/>
          <w:szCs w:val="21"/>
        </w:rPr>
        <w:t>           </w:t>
      </w:r>
      <w:r>
        <w:rPr>
          <w:rFonts w:ascii="Open Sans" w:hAnsi="Open Sans" w:cs="Open Sans"/>
          <w:color w:val="262626"/>
          <w:sz w:val="21"/>
          <w:szCs w:val="21"/>
        </w:rPr>
        <w:t xml:space="preserve">The first risk factor of polypharmacy is multimorbidity. Multimorbidity is found in the elderly population and is defined as the concurrency of more than two chronic health conditions in the body of an elderly person. </w:t>
      </w:r>
      <w:proofErr w:type="spellStart"/>
      <w:r>
        <w:rPr>
          <w:rFonts w:ascii="Open Sans" w:hAnsi="Open Sans" w:cs="Open Sans"/>
          <w:color w:val="262626"/>
          <w:sz w:val="21"/>
          <w:szCs w:val="21"/>
        </w:rPr>
        <w:t>Esroy</w:t>
      </w:r>
      <w:proofErr w:type="spellEnd"/>
      <w:r>
        <w:rPr>
          <w:rFonts w:ascii="Open Sans" w:hAnsi="Open Sans" w:cs="Open Sans"/>
          <w:color w:val="262626"/>
          <w:sz w:val="21"/>
          <w:szCs w:val="21"/>
        </w:rPr>
        <w:t xml:space="preserve"> and </w:t>
      </w:r>
      <w:proofErr w:type="spellStart"/>
      <w:r>
        <w:rPr>
          <w:rFonts w:ascii="Open Sans" w:hAnsi="Open Sans" w:cs="Open Sans"/>
          <w:color w:val="262626"/>
          <w:sz w:val="21"/>
          <w:szCs w:val="21"/>
        </w:rPr>
        <w:t>Engin</w:t>
      </w:r>
      <w:proofErr w:type="spellEnd"/>
      <w:r>
        <w:rPr>
          <w:rFonts w:ascii="Open Sans" w:hAnsi="Open Sans" w:cs="Open Sans"/>
          <w:color w:val="262626"/>
          <w:sz w:val="21"/>
          <w:szCs w:val="21"/>
        </w:rPr>
        <w:t xml:space="preserve"> (2018), define polypharmacy under a cross-sectional study and name comorbidity as the main risk factor for polypharmacy. Administration of various drugs in the treatment of each condition could lead to fatalities in the old especially due to slow metabolism rates. Another risk factor is organization-based errors such as patient files that are poorly fed in. This is the most misleading information any healthcare provider would receive. Patient records carry the history of ailment and the treatments given in the course of treatment. Carelessly updating them could lead to misinformation which further deteriorates the health of the patient leading to polypharmacy.</w:t>
      </w:r>
    </w:p>
    <w:p w14:paraId="4560C00F" w14:textId="77777777" w:rsidR="00C74BBA" w:rsidRDefault="00C74BBA" w:rsidP="00C74BBA">
      <w:pPr>
        <w:pStyle w:val="NormalWeb"/>
        <w:shd w:val="clear" w:color="auto" w:fill="FFFFFF"/>
        <w:jc w:val="center"/>
        <w:rPr>
          <w:rFonts w:ascii="Open Sans" w:hAnsi="Open Sans" w:cs="Open Sans"/>
          <w:color w:val="262626"/>
          <w:sz w:val="21"/>
          <w:szCs w:val="21"/>
        </w:rPr>
      </w:pPr>
      <w:r>
        <w:rPr>
          <w:rStyle w:val="Strong"/>
          <w:rFonts w:ascii="Open Sans" w:hAnsi="Open Sans" w:cs="Open Sans"/>
          <w:color w:val="262626"/>
          <w:sz w:val="21"/>
          <w:szCs w:val="21"/>
        </w:rPr>
        <w:t>Nursing Role in Preventing Polypharmacy.</w:t>
      </w:r>
    </w:p>
    <w:p w14:paraId="2BB4C68F" w14:textId="77777777" w:rsidR="00C74BBA" w:rsidRDefault="00C74BBA" w:rsidP="00C74BBA">
      <w:pPr>
        <w:pStyle w:val="NormalWeb"/>
        <w:shd w:val="clear" w:color="auto" w:fill="FFFFFF"/>
        <w:jc w:val="both"/>
        <w:rPr>
          <w:rFonts w:ascii="Open Sans" w:hAnsi="Open Sans" w:cs="Open Sans"/>
          <w:color w:val="262626"/>
          <w:sz w:val="21"/>
          <w:szCs w:val="21"/>
        </w:rPr>
      </w:pPr>
      <w:r>
        <w:rPr>
          <w:rFonts w:ascii="Open Sans" w:hAnsi="Open Sans" w:cs="Open Sans"/>
          <w:color w:val="262626"/>
          <w:sz w:val="21"/>
          <w:szCs w:val="21"/>
        </w:rPr>
        <w:t xml:space="preserve">           As a nurse practitioner, I am a primary healthcare giver there are many ways of preventing polypharmacy. The key one is having updated records that are specific to details such as correct medical listing with the right brand or generic names per prescription, the dosages, frequency of dosage, and period under placement. I would give them information on the need to have their records of treatment, prescriptions, and healthcare providers. Also, I would ensure that I insist on instructing them on how to use the drugs with prescription instead of over-the-counter drugs. This counsel would enable reduce the effects of the drugs on the patients. Lastly, I would teach </w:t>
      </w:r>
      <w:r>
        <w:rPr>
          <w:rFonts w:ascii="Open Sans" w:hAnsi="Open Sans" w:cs="Open Sans"/>
          <w:color w:val="262626"/>
          <w:sz w:val="21"/>
          <w:szCs w:val="21"/>
        </w:rPr>
        <w:lastRenderedPageBreak/>
        <w:t xml:space="preserve">them how to organize their drug cabinet to ensure they don't overdose on the same drug. This could be done by placing different packages for every drug and how to keep the drugs without risking contamination and children's reach </w:t>
      </w:r>
      <w:r>
        <w:rPr>
          <w:rFonts w:ascii="Open Sans" w:hAnsi="Open Sans" w:cs="Open Sans"/>
          <w:color w:val="000000"/>
          <w:sz w:val="21"/>
          <w:szCs w:val="21"/>
        </w:rPr>
        <w:t xml:space="preserve">(C &amp; </w:t>
      </w:r>
      <w:proofErr w:type="spellStart"/>
      <w:r>
        <w:rPr>
          <w:rFonts w:ascii="Open Sans" w:hAnsi="Open Sans" w:cs="Open Sans"/>
          <w:color w:val="000000"/>
          <w:sz w:val="21"/>
          <w:szCs w:val="21"/>
        </w:rPr>
        <w:t>Azhagesan</w:t>
      </w:r>
      <w:proofErr w:type="spellEnd"/>
      <w:r>
        <w:rPr>
          <w:rFonts w:ascii="Open Sans" w:hAnsi="Open Sans" w:cs="Open Sans"/>
          <w:color w:val="000000"/>
          <w:sz w:val="21"/>
          <w:szCs w:val="21"/>
        </w:rPr>
        <w:t>, 2017).</w:t>
      </w:r>
    </w:p>
    <w:p w14:paraId="51321DE3" w14:textId="77777777" w:rsidR="00C74BBA" w:rsidRDefault="00C74BBA" w:rsidP="00C74BBA">
      <w:pPr>
        <w:pStyle w:val="NormalWeb"/>
        <w:shd w:val="clear" w:color="auto" w:fill="FFFFFF"/>
        <w:rPr>
          <w:rFonts w:ascii="Open Sans" w:hAnsi="Open Sans" w:cs="Open Sans"/>
          <w:color w:val="262626"/>
          <w:sz w:val="21"/>
          <w:szCs w:val="21"/>
        </w:rPr>
      </w:pPr>
    </w:p>
    <w:p w14:paraId="0AB16150" w14:textId="77777777" w:rsidR="00C74BBA" w:rsidRDefault="00C74BBA" w:rsidP="00C74BBA">
      <w:pPr>
        <w:pStyle w:val="NormalWeb"/>
        <w:shd w:val="clear" w:color="auto" w:fill="FFFFFF"/>
        <w:jc w:val="center"/>
        <w:rPr>
          <w:rFonts w:ascii="Open Sans" w:hAnsi="Open Sans" w:cs="Open Sans"/>
          <w:color w:val="262626"/>
          <w:sz w:val="21"/>
          <w:szCs w:val="21"/>
        </w:rPr>
      </w:pPr>
      <w:r>
        <w:rPr>
          <w:rStyle w:val="Strong"/>
          <w:rFonts w:ascii="Open Sans" w:hAnsi="Open Sans" w:cs="Open Sans"/>
          <w:color w:val="262626"/>
          <w:sz w:val="21"/>
          <w:szCs w:val="21"/>
        </w:rPr>
        <w:t>References</w:t>
      </w:r>
    </w:p>
    <w:p w14:paraId="51EEF75A" w14:textId="77777777" w:rsidR="00C74BBA" w:rsidRDefault="00C74BBA" w:rsidP="00C74BBA">
      <w:pPr>
        <w:pStyle w:val="NormalWeb"/>
        <w:shd w:val="clear" w:color="auto" w:fill="FFFFFF"/>
        <w:jc w:val="both"/>
        <w:rPr>
          <w:rFonts w:ascii="Open Sans" w:hAnsi="Open Sans" w:cs="Open Sans"/>
          <w:color w:val="262626"/>
          <w:sz w:val="21"/>
          <w:szCs w:val="21"/>
        </w:rPr>
      </w:pPr>
      <w:r>
        <w:rPr>
          <w:rFonts w:ascii="Open Sans" w:hAnsi="Open Sans" w:cs="Open Sans"/>
          <w:color w:val="000000"/>
          <w:sz w:val="21"/>
          <w:szCs w:val="21"/>
        </w:rPr>
        <w:t xml:space="preserve">C, A., &amp; </w:t>
      </w:r>
      <w:proofErr w:type="spellStart"/>
      <w:r>
        <w:rPr>
          <w:rFonts w:ascii="Open Sans" w:hAnsi="Open Sans" w:cs="Open Sans"/>
          <w:color w:val="000000"/>
          <w:sz w:val="21"/>
          <w:szCs w:val="21"/>
        </w:rPr>
        <w:t>Azhagesan</w:t>
      </w:r>
      <w:proofErr w:type="spellEnd"/>
      <w:r>
        <w:rPr>
          <w:rFonts w:ascii="Open Sans" w:hAnsi="Open Sans" w:cs="Open Sans"/>
          <w:color w:val="000000"/>
          <w:sz w:val="21"/>
          <w:szCs w:val="21"/>
        </w:rPr>
        <w:t>, C. (2017). </w:t>
      </w:r>
      <w:r>
        <w:rPr>
          <w:rStyle w:val="Emphasis"/>
          <w:rFonts w:ascii="Open Sans" w:hAnsi="Open Sans" w:cs="Open Sans"/>
          <w:color w:val="000000"/>
          <w:sz w:val="21"/>
          <w:szCs w:val="21"/>
        </w:rPr>
        <w:t>Role of Nurse in Polypharmacy</w:t>
      </w:r>
      <w:r>
        <w:rPr>
          <w:rFonts w:ascii="Open Sans" w:hAnsi="Open Sans" w:cs="Open Sans"/>
          <w:color w:val="000000"/>
          <w:sz w:val="21"/>
          <w:szCs w:val="21"/>
        </w:rPr>
        <w:t>. Medwinpublishers.com. Retrieved 25 January 2022, from https://medwinpublishers.com/NHIJ/NHIJ16000123.pdf.</w:t>
      </w:r>
    </w:p>
    <w:p w14:paraId="579427DD" w14:textId="77777777" w:rsidR="00C74BBA" w:rsidRDefault="00C74BBA" w:rsidP="00C74BBA">
      <w:pPr>
        <w:pStyle w:val="NormalWeb"/>
        <w:shd w:val="clear" w:color="auto" w:fill="FFFFFF"/>
        <w:jc w:val="both"/>
        <w:rPr>
          <w:rFonts w:ascii="Open Sans" w:hAnsi="Open Sans" w:cs="Open Sans"/>
          <w:color w:val="262626"/>
          <w:sz w:val="21"/>
          <w:szCs w:val="21"/>
        </w:rPr>
      </w:pPr>
      <w:proofErr w:type="spellStart"/>
      <w:r>
        <w:rPr>
          <w:rFonts w:ascii="Open Sans" w:hAnsi="Open Sans" w:cs="Open Sans"/>
          <w:color w:val="000000"/>
          <w:sz w:val="21"/>
          <w:szCs w:val="21"/>
        </w:rPr>
        <w:t>Ersoy</w:t>
      </w:r>
      <w:proofErr w:type="spellEnd"/>
      <w:r>
        <w:rPr>
          <w:rFonts w:ascii="Open Sans" w:hAnsi="Open Sans" w:cs="Open Sans"/>
          <w:color w:val="000000"/>
          <w:sz w:val="21"/>
          <w:szCs w:val="21"/>
        </w:rPr>
        <w:t xml:space="preserve">, S., &amp; </w:t>
      </w:r>
      <w:proofErr w:type="spellStart"/>
      <w:r>
        <w:rPr>
          <w:rFonts w:ascii="Open Sans" w:hAnsi="Open Sans" w:cs="Open Sans"/>
          <w:color w:val="000000"/>
          <w:sz w:val="21"/>
          <w:szCs w:val="21"/>
        </w:rPr>
        <w:t>Engin</w:t>
      </w:r>
      <w:proofErr w:type="spellEnd"/>
      <w:r>
        <w:rPr>
          <w:rFonts w:ascii="Open Sans" w:hAnsi="Open Sans" w:cs="Open Sans"/>
          <w:color w:val="000000"/>
          <w:sz w:val="21"/>
          <w:szCs w:val="21"/>
        </w:rPr>
        <w:t>, V. S. (2018). Risk factors for polypharmacy in older adults in a primary care setting: a cross-sectional study. </w:t>
      </w:r>
      <w:r>
        <w:rPr>
          <w:rStyle w:val="Emphasis"/>
          <w:rFonts w:ascii="Open Sans" w:hAnsi="Open Sans" w:cs="Open Sans"/>
          <w:color w:val="000000"/>
          <w:sz w:val="21"/>
          <w:szCs w:val="21"/>
        </w:rPr>
        <w:t>Clinical interventions in aging</w:t>
      </w:r>
      <w:r>
        <w:rPr>
          <w:rFonts w:ascii="Open Sans" w:hAnsi="Open Sans" w:cs="Open Sans"/>
          <w:color w:val="000000"/>
          <w:sz w:val="21"/>
          <w:szCs w:val="21"/>
        </w:rPr>
        <w:t>, </w:t>
      </w:r>
      <w:r>
        <w:rPr>
          <w:rStyle w:val="Emphasis"/>
          <w:rFonts w:ascii="Open Sans" w:hAnsi="Open Sans" w:cs="Open Sans"/>
          <w:color w:val="000000"/>
          <w:sz w:val="21"/>
          <w:szCs w:val="21"/>
        </w:rPr>
        <w:t>13</w:t>
      </w:r>
      <w:r>
        <w:rPr>
          <w:rFonts w:ascii="Open Sans" w:hAnsi="Open Sans" w:cs="Open Sans"/>
          <w:color w:val="000000"/>
          <w:sz w:val="21"/>
          <w:szCs w:val="21"/>
        </w:rPr>
        <w:t>, 2003.</w:t>
      </w:r>
    </w:p>
    <w:p w14:paraId="268C92C5" w14:textId="77777777" w:rsidR="00C74BBA" w:rsidRDefault="00C74BBA" w:rsidP="00C74BBA">
      <w:pPr>
        <w:spacing w:line="240" w:lineRule="auto"/>
      </w:pPr>
    </w:p>
    <w:sectPr w:rsidR="00C74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F3E91"/>
    <w:multiLevelType w:val="multilevel"/>
    <w:tmpl w:val="273EDA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3100E14"/>
    <w:multiLevelType w:val="multilevel"/>
    <w:tmpl w:val="73BA0A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D32F0"/>
    <w:multiLevelType w:val="multilevel"/>
    <w:tmpl w:val="BD90AE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99321253">
    <w:abstractNumId w:val="2"/>
  </w:num>
  <w:num w:numId="2" w16cid:durableId="1106385937">
    <w:abstractNumId w:val="1"/>
  </w:num>
  <w:num w:numId="3" w16cid:durableId="975648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BA"/>
    <w:rsid w:val="0006489D"/>
    <w:rsid w:val="000F51CF"/>
    <w:rsid w:val="001021CC"/>
    <w:rsid w:val="00147EEE"/>
    <w:rsid w:val="001704D4"/>
    <w:rsid w:val="001730EA"/>
    <w:rsid w:val="00243AEC"/>
    <w:rsid w:val="00243D59"/>
    <w:rsid w:val="00297433"/>
    <w:rsid w:val="002B6133"/>
    <w:rsid w:val="002E2E8E"/>
    <w:rsid w:val="002E4EB2"/>
    <w:rsid w:val="00346DFA"/>
    <w:rsid w:val="003B137E"/>
    <w:rsid w:val="003B76D4"/>
    <w:rsid w:val="003C5384"/>
    <w:rsid w:val="003C7FB4"/>
    <w:rsid w:val="00431B83"/>
    <w:rsid w:val="004921E1"/>
    <w:rsid w:val="004C76B4"/>
    <w:rsid w:val="00520A53"/>
    <w:rsid w:val="00552C78"/>
    <w:rsid w:val="0057352C"/>
    <w:rsid w:val="00574863"/>
    <w:rsid w:val="00595B0C"/>
    <w:rsid w:val="005A24F4"/>
    <w:rsid w:val="006619D5"/>
    <w:rsid w:val="00670A88"/>
    <w:rsid w:val="006D398A"/>
    <w:rsid w:val="00721C7E"/>
    <w:rsid w:val="007C5891"/>
    <w:rsid w:val="00800461"/>
    <w:rsid w:val="008605ED"/>
    <w:rsid w:val="008D5C48"/>
    <w:rsid w:val="009274BE"/>
    <w:rsid w:val="009353FB"/>
    <w:rsid w:val="009946B5"/>
    <w:rsid w:val="009A04C0"/>
    <w:rsid w:val="00A33410"/>
    <w:rsid w:val="00A440A2"/>
    <w:rsid w:val="00A47C62"/>
    <w:rsid w:val="00A6712C"/>
    <w:rsid w:val="00AC1BA9"/>
    <w:rsid w:val="00AC651A"/>
    <w:rsid w:val="00B01433"/>
    <w:rsid w:val="00B17B74"/>
    <w:rsid w:val="00B65496"/>
    <w:rsid w:val="00BB07C1"/>
    <w:rsid w:val="00BB110C"/>
    <w:rsid w:val="00BC71E8"/>
    <w:rsid w:val="00BE055A"/>
    <w:rsid w:val="00C215DC"/>
    <w:rsid w:val="00C33650"/>
    <w:rsid w:val="00C74BBA"/>
    <w:rsid w:val="00CB6C57"/>
    <w:rsid w:val="00D50745"/>
    <w:rsid w:val="00DA7056"/>
    <w:rsid w:val="00DD7ECE"/>
    <w:rsid w:val="00E367DD"/>
    <w:rsid w:val="00E62860"/>
    <w:rsid w:val="00E71AFA"/>
    <w:rsid w:val="00E74571"/>
    <w:rsid w:val="00EC6B09"/>
    <w:rsid w:val="00F429BD"/>
    <w:rsid w:val="00FC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3A47"/>
  <w15:chartTrackingRefBased/>
  <w15:docId w15:val="{6B9EF97E-A56B-49D6-8D90-7E4A01D70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B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74BBA"/>
    <w:rPr>
      <w:b/>
      <w:bCs/>
    </w:rPr>
  </w:style>
  <w:style w:type="character" w:styleId="Emphasis">
    <w:name w:val="Emphasis"/>
    <w:basedOn w:val="DefaultParagraphFont"/>
    <w:uiPriority w:val="20"/>
    <w:qFormat/>
    <w:rsid w:val="00C74B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0608">
      <w:bodyDiv w:val="1"/>
      <w:marLeft w:val="0"/>
      <w:marRight w:val="0"/>
      <w:marTop w:val="0"/>
      <w:marBottom w:val="0"/>
      <w:divBdr>
        <w:top w:val="none" w:sz="0" w:space="0" w:color="auto"/>
        <w:left w:val="none" w:sz="0" w:space="0" w:color="auto"/>
        <w:bottom w:val="none" w:sz="0" w:space="0" w:color="auto"/>
        <w:right w:val="none" w:sz="0" w:space="0" w:color="auto"/>
      </w:divBdr>
    </w:div>
    <w:div w:id="643394761">
      <w:bodyDiv w:val="1"/>
      <w:marLeft w:val="0"/>
      <w:marRight w:val="0"/>
      <w:marTop w:val="0"/>
      <w:marBottom w:val="0"/>
      <w:divBdr>
        <w:top w:val="none" w:sz="0" w:space="0" w:color="auto"/>
        <w:left w:val="none" w:sz="0" w:space="0" w:color="auto"/>
        <w:bottom w:val="none" w:sz="0" w:space="0" w:color="auto"/>
        <w:right w:val="none" w:sz="0" w:space="0" w:color="auto"/>
      </w:divBdr>
    </w:div>
    <w:div w:id="670959612">
      <w:bodyDiv w:val="1"/>
      <w:marLeft w:val="0"/>
      <w:marRight w:val="0"/>
      <w:marTop w:val="0"/>
      <w:marBottom w:val="0"/>
      <w:divBdr>
        <w:top w:val="none" w:sz="0" w:space="0" w:color="auto"/>
        <w:left w:val="none" w:sz="0" w:space="0" w:color="auto"/>
        <w:bottom w:val="none" w:sz="0" w:space="0" w:color="auto"/>
        <w:right w:val="none" w:sz="0" w:space="0" w:color="auto"/>
      </w:divBdr>
    </w:div>
    <w:div w:id="162773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1569</Words>
  <Characters>8944</Characters>
  <Application>Microsoft Office Word</Application>
  <DocSecurity>0</DocSecurity>
  <Lines>74</Lines>
  <Paragraphs>20</Paragraphs>
  <ScaleCrop>false</ScaleCrop>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2022-05-27T07:40:00Z</dcterms:created>
  <dcterms:modified xsi:type="dcterms:W3CDTF">2022-05-27T07:44:00Z</dcterms:modified>
</cp:coreProperties>
</file>