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E61" w:rsidRDefault="002C026A" w:rsidP="00ED237F">
      <w:pPr>
        <w:ind w:left="1680" w:firstLine="420"/>
        <w:jc w:val="left"/>
        <w:rPr>
          <w:rFonts w:asciiTheme="majorHAnsi" w:eastAsiaTheme="majorHAnsi" w:hAnsiTheme="majorHAnsi"/>
          <w:sz w:val="44"/>
          <w:szCs w:val="44"/>
        </w:rPr>
      </w:pPr>
      <w:r w:rsidRPr="002C026A">
        <w:rPr>
          <w:rFonts w:asciiTheme="majorHAnsi" w:eastAsiaTheme="majorHAnsi" w:hAnsiTheme="majorHAnsi" w:hint="eastAsia"/>
          <w:sz w:val="44"/>
          <w:szCs w:val="44"/>
        </w:rPr>
        <w:t>《万历十五年》</w:t>
      </w:r>
    </w:p>
    <w:p w:rsidR="00E04E61" w:rsidRDefault="002C026A" w:rsidP="00ED237F">
      <w:pPr>
        <w:ind w:left="3360" w:firstLine="420"/>
        <w:jc w:val="left"/>
        <w:rPr>
          <w:rFonts w:asciiTheme="majorHAnsi" w:eastAsiaTheme="majorHAnsi" w:hAnsiTheme="majorHAnsi" w:hint="eastAsia"/>
          <w:sz w:val="44"/>
          <w:szCs w:val="44"/>
        </w:rPr>
      </w:pPr>
      <w:r w:rsidRPr="002C026A">
        <w:rPr>
          <w:rFonts w:asciiTheme="majorHAnsi" w:eastAsiaTheme="majorHAnsi" w:hAnsiTheme="majorHAnsi" w:hint="eastAsia"/>
          <w:sz w:val="44"/>
          <w:szCs w:val="44"/>
        </w:rPr>
        <w:t>——黄仁宇</w:t>
      </w:r>
    </w:p>
    <w:p w:rsidR="002C026A" w:rsidRDefault="002C026A" w:rsidP="00ED237F">
      <w:pPr>
        <w:jc w:val="left"/>
        <w:rPr>
          <w:highlight w:val="yellow"/>
        </w:rPr>
      </w:pPr>
      <w:r>
        <w:rPr>
          <w:rFonts w:hint="eastAsia"/>
          <w:highlight w:val="yellow"/>
        </w:rPr>
        <w:t>关于作者</w:t>
      </w:r>
    </w:p>
    <w:p w:rsidR="002C026A" w:rsidRDefault="002C026A" w:rsidP="00ED237F">
      <w:pPr>
        <w:jc w:val="left"/>
        <w:rPr>
          <w:rFonts w:ascii="Helvetica" w:hAnsi="Helvetica"/>
          <w:color w:val="333333"/>
          <w:szCs w:val="21"/>
          <w:shd w:val="clear" w:color="auto" w:fill="FFFFFF"/>
        </w:rPr>
      </w:pPr>
      <w:r>
        <w:rPr>
          <w:rFonts w:ascii="Helvetica" w:hAnsi="Helvetica"/>
          <w:color w:val="333333"/>
          <w:szCs w:val="21"/>
          <w:shd w:val="clear" w:color="auto" w:fill="FFFFFF"/>
        </w:rPr>
        <w:t>黄仁宇</w:t>
      </w:r>
      <w:r>
        <w:rPr>
          <w:rFonts w:ascii="Helvetica" w:hAnsi="Helvetica" w:hint="eastAsia"/>
          <w:color w:val="333333"/>
          <w:szCs w:val="21"/>
          <w:shd w:val="clear" w:color="auto" w:fill="FFFFFF"/>
        </w:rPr>
        <w:t>，</w:t>
      </w:r>
      <w:r>
        <w:rPr>
          <w:rFonts w:hint="eastAsia"/>
        </w:rPr>
        <w:t>美籍华人</w:t>
      </w:r>
      <w:r>
        <w:rPr>
          <w:rFonts w:ascii="Helvetica" w:hAnsi="Helvetica"/>
          <w:color w:val="333333"/>
          <w:szCs w:val="21"/>
          <w:shd w:val="clear" w:color="auto" w:fill="FFFFFF"/>
        </w:rPr>
        <w:t>，教授、学者。著有《万历十五年》《中国大历史》《</w:t>
      </w:r>
      <w:r w:rsidRPr="002C026A">
        <w:rPr>
          <w:rFonts w:ascii="Helvetica" w:hAnsi="Helvetica"/>
          <w:szCs w:val="21"/>
          <w:shd w:val="clear" w:color="auto" w:fill="FFFFFF"/>
        </w:rPr>
        <w:t>汴京残梦</w:t>
      </w:r>
      <w:r>
        <w:rPr>
          <w:rFonts w:ascii="Helvetica" w:hAnsi="Helvetica"/>
          <w:color w:val="333333"/>
          <w:szCs w:val="21"/>
          <w:shd w:val="clear" w:color="auto" w:fill="FFFFFF"/>
        </w:rPr>
        <w:t>》</w:t>
      </w:r>
      <w:bookmarkStart w:id="0" w:name="ref_[1]_47410"/>
      <w:r>
        <w:rPr>
          <w:rFonts w:ascii="Helvetica" w:hAnsi="Helvetica"/>
          <w:color w:val="136EC2"/>
          <w:sz w:val="2"/>
          <w:szCs w:val="2"/>
          <w:shd w:val="clear" w:color="auto" w:fill="FFFFFF"/>
        </w:rPr>
        <w:t> </w:t>
      </w:r>
      <w:bookmarkEnd w:id="0"/>
      <w:r>
        <w:rPr>
          <w:rFonts w:ascii="Helvetica" w:hAnsi="Helvetica"/>
          <w:color w:val="333333"/>
          <w:szCs w:val="21"/>
          <w:shd w:val="clear" w:color="auto" w:fill="FFFFFF"/>
        </w:rPr>
        <w:t> </w:t>
      </w:r>
      <w:r>
        <w:rPr>
          <w:rFonts w:ascii="Helvetica" w:hAnsi="Helvetica"/>
          <w:color w:val="333333"/>
          <w:szCs w:val="21"/>
          <w:shd w:val="clear" w:color="auto" w:fill="FFFFFF"/>
        </w:rPr>
        <w:t>等书</w:t>
      </w:r>
    </w:p>
    <w:p w:rsidR="002C026A" w:rsidRDefault="002C026A" w:rsidP="00ED237F">
      <w:pPr>
        <w:jc w:val="left"/>
        <w:rPr>
          <w:highlight w:val="yellow"/>
        </w:rPr>
      </w:pPr>
      <w:r>
        <w:rPr>
          <w:rFonts w:hint="eastAsia"/>
          <w:highlight w:val="yellow"/>
        </w:rPr>
        <w:t>关于本书</w:t>
      </w:r>
    </w:p>
    <w:p w:rsidR="002C026A" w:rsidRDefault="002C026A" w:rsidP="00ED237F">
      <w:pPr>
        <w:widowControl/>
        <w:shd w:val="clear" w:color="auto" w:fill="FFFFFF"/>
        <w:spacing w:line="360" w:lineRule="atLeast"/>
        <w:jc w:val="left"/>
        <w:rPr>
          <w:rFonts w:asciiTheme="minorEastAsia" w:hAnsiTheme="minorEastAsia" w:cs="宋体"/>
          <w:color w:val="333333"/>
          <w:kern w:val="0"/>
          <w:szCs w:val="21"/>
        </w:rPr>
      </w:pPr>
      <w:r w:rsidRPr="002C026A">
        <w:rPr>
          <w:rFonts w:asciiTheme="minorEastAsia" w:hAnsiTheme="minorEastAsia" w:cs="宋体"/>
          <w:color w:val="333333"/>
          <w:kern w:val="0"/>
          <w:szCs w:val="21"/>
        </w:rPr>
        <w:t>《万历十五年》是</w:t>
      </w:r>
      <w:r>
        <w:rPr>
          <w:rFonts w:asciiTheme="minorEastAsia" w:hAnsiTheme="minorEastAsia" w:cs="宋体" w:hint="eastAsia"/>
          <w:color w:val="333333"/>
          <w:kern w:val="0"/>
          <w:szCs w:val="21"/>
        </w:rPr>
        <w:t>黄仁宇</w:t>
      </w:r>
      <w:r w:rsidRPr="002C026A">
        <w:rPr>
          <w:rFonts w:asciiTheme="minorEastAsia" w:hAnsiTheme="minorEastAsia" w:cs="宋体"/>
          <w:color w:val="333333"/>
          <w:kern w:val="0"/>
          <w:szCs w:val="21"/>
        </w:rPr>
        <w:t>创作的历史学著作，首次刊行于1981年。</w:t>
      </w:r>
    </w:p>
    <w:p w:rsidR="00216CEA" w:rsidRDefault="002C026A" w:rsidP="00ED237F">
      <w:pPr>
        <w:widowControl/>
        <w:shd w:val="clear" w:color="auto" w:fill="FFFFFF"/>
        <w:spacing w:line="360" w:lineRule="atLeast"/>
        <w:jc w:val="left"/>
        <w:rPr>
          <w:rFonts w:asciiTheme="minorEastAsia" w:hAnsiTheme="minorEastAsia"/>
          <w:color w:val="333333"/>
          <w:szCs w:val="21"/>
          <w:shd w:val="clear" w:color="auto" w:fill="FFFFFF"/>
        </w:rPr>
      </w:pPr>
      <w:r w:rsidRPr="002C026A">
        <w:rPr>
          <w:rFonts w:asciiTheme="minorEastAsia" w:hAnsiTheme="minorEastAsia"/>
          <w:color w:val="333333"/>
          <w:szCs w:val="21"/>
          <w:shd w:val="clear" w:color="auto" w:fill="FFFFFF"/>
        </w:rPr>
        <w:t>该书英文版推出后，被美国多所大学采用为教科书，获得美国</w:t>
      </w:r>
      <w:r w:rsidRPr="002C026A">
        <w:rPr>
          <w:rFonts w:asciiTheme="minorEastAsia" w:hAnsiTheme="minorEastAsia" w:hint="eastAsia"/>
          <w:color w:val="333333"/>
          <w:szCs w:val="21"/>
          <w:shd w:val="clear" w:color="auto" w:fill="FFFFFF"/>
        </w:rPr>
        <w:t xml:space="preserve"> </w:t>
      </w:r>
      <w:proofErr w:type="gramStart"/>
      <w:r w:rsidRPr="002C026A">
        <w:rPr>
          <w:rFonts w:asciiTheme="minorEastAsia" w:hAnsiTheme="minorEastAsia" w:hint="eastAsia"/>
          <w:color w:val="333333"/>
          <w:szCs w:val="21"/>
          <w:shd w:val="clear" w:color="auto" w:fill="FFFFFF"/>
        </w:rPr>
        <w:t>书卷</w:t>
      </w:r>
      <w:r w:rsidR="00216CEA">
        <w:rPr>
          <w:rFonts w:asciiTheme="minorEastAsia" w:hAnsiTheme="minorEastAsia" w:hint="eastAsia"/>
          <w:color w:val="333333"/>
          <w:szCs w:val="21"/>
          <w:shd w:val="clear" w:color="auto" w:fill="FFFFFF"/>
        </w:rPr>
        <w:t>奖</w:t>
      </w:r>
      <w:proofErr w:type="gramEnd"/>
      <w:r w:rsidRPr="002C026A">
        <w:rPr>
          <w:rFonts w:asciiTheme="minorEastAsia" w:hAnsiTheme="minorEastAsia"/>
          <w:color w:val="333333"/>
          <w:szCs w:val="21"/>
          <w:shd w:val="clear" w:color="auto" w:fill="FFFFFF"/>
        </w:rPr>
        <w:t>1982年和1983年历史类好书两次提名。</w:t>
      </w:r>
    </w:p>
    <w:p w:rsidR="002C026A" w:rsidRPr="002C026A" w:rsidRDefault="002C026A" w:rsidP="00ED237F">
      <w:pPr>
        <w:widowControl/>
        <w:shd w:val="clear" w:color="auto" w:fill="FFFFFF"/>
        <w:spacing w:line="360" w:lineRule="atLeast"/>
        <w:jc w:val="left"/>
        <w:rPr>
          <w:rFonts w:asciiTheme="minorEastAsia" w:hAnsiTheme="minorEastAsia" w:cs="宋体" w:hint="eastAsia"/>
          <w:color w:val="333333"/>
          <w:kern w:val="0"/>
          <w:szCs w:val="21"/>
        </w:rPr>
      </w:pPr>
      <w:r w:rsidRPr="002C026A">
        <w:rPr>
          <w:rFonts w:asciiTheme="minorEastAsia" w:hAnsiTheme="minorEastAsia"/>
          <w:color w:val="333333"/>
          <w:szCs w:val="21"/>
          <w:shd w:val="clear" w:color="auto" w:fill="FFFFFF"/>
        </w:rPr>
        <w:t>中文版入选《新周刊》和《书城》“改革开放20年来对中国影响最大的20本书”</w:t>
      </w:r>
    </w:p>
    <w:p w:rsidR="002C026A" w:rsidRDefault="002C026A" w:rsidP="00ED237F">
      <w:pPr>
        <w:jc w:val="left"/>
        <w:rPr>
          <w:highlight w:val="yellow"/>
        </w:rPr>
      </w:pPr>
      <w:r>
        <w:rPr>
          <w:rFonts w:hint="eastAsia"/>
          <w:highlight w:val="yellow"/>
        </w:rPr>
        <w:t>核心内容</w:t>
      </w:r>
    </w:p>
    <w:p w:rsidR="00ED237F" w:rsidRPr="00ED237F" w:rsidRDefault="002C026A" w:rsidP="00ED237F">
      <w:pPr>
        <w:widowControl/>
        <w:shd w:val="clear" w:color="auto" w:fill="FFFFFF"/>
        <w:spacing w:line="360" w:lineRule="atLeast"/>
        <w:jc w:val="left"/>
        <w:rPr>
          <w:rFonts w:asciiTheme="minorEastAsia" w:hAnsiTheme="minorEastAsia" w:cs="宋体" w:hint="eastAsia"/>
          <w:color w:val="333333"/>
          <w:kern w:val="0"/>
          <w:szCs w:val="21"/>
        </w:rPr>
      </w:pPr>
      <w:r w:rsidRPr="002C026A">
        <w:rPr>
          <w:rFonts w:asciiTheme="minorEastAsia" w:hAnsiTheme="minorEastAsia" w:cs="宋体"/>
          <w:color w:val="333333"/>
          <w:kern w:val="0"/>
          <w:szCs w:val="21"/>
        </w:rPr>
        <w:t>《万历十五年》从</w:t>
      </w:r>
      <w:r>
        <w:rPr>
          <w:rFonts w:asciiTheme="minorEastAsia" w:hAnsiTheme="minorEastAsia" w:cs="宋体" w:hint="eastAsia"/>
          <w:color w:val="333333"/>
          <w:kern w:val="0"/>
          <w:szCs w:val="21"/>
        </w:rPr>
        <w:t>“大历史观”</w:t>
      </w:r>
      <w:r w:rsidRPr="002C026A">
        <w:rPr>
          <w:rFonts w:asciiTheme="minorEastAsia" w:hAnsiTheme="minorEastAsia" w:cs="宋体"/>
          <w:color w:val="333333"/>
          <w:kern w:val="0"/>
          <w:szCs w:val="21"/>
        </w:rPr>
        <w:t>的研究视角出发，选取了明朝万历十五年（1587年）作为考察切入点，运用历史小说的叙事模式和传记体式的章节，通过对关键历史人物悲惨命运的描述，探析了晚明帝国走向衰落的深刻原因。 这充分体现了作者的大历史观，即宏观的、系统的历史</w:t>
      </w:r>
      <w:r>
        <w:rPr>
          <w:rFonts w:asciiTheme="minorEastAsia" w:hAnsiTheme="minorEastAsia" w:cs="宋体" w:hint="eastAsia"/>
          <w:color w:val="333333"/>
          <w:kern w:val="0"/>
          <w:szCs w:val="21"/>
        </w:rPr>
        <w:t>，</w:t>
      </w:r>
      <w:r w:rsidRPr="002C026A">
        <w:rPr>
          <w:rFonts w:asciiTheme="minorEastAsia" w:hAnsiTheme="minorEastAsia" w:cs="宋体"/>
          <w:color w:val="333333"/>
          <w:kern w:val="0"/>
          <w:szCs w:val="21"/>
        </w:rPr>
        <w:t>也即</w:t>
      </w:r>
      <w:proofErr w:type="gramStart"/>
      <w:r w:rsidRPr="002C026A">
        <w:rPr>
          <w:rFonts w:asciiTheme="minorEastAsia" w:hAnsiTheme="minorEastAsia" w:cs="宋体"/>
          <w:color w:val="333333"/>
          <w:kern w:val="0"/>
          <w:szCs w:val="21"/>
        </w:rPr>
        <w:t>“</w:t>
      </w:r>
      <w:proofErr w:type="gramEnd"/>
      <w:r w:rsidRPr="002C026A">
        <w:rPr>
          <w:rFonts w:asciiTheme="minorEastAsia" w:hAnsiTheme="minorEastAsia" w:cs="宋体"/>
          <w:color w:val="333333"/>
          <w:kern w:val="0"/>
          <w:szCs w:val="21"/>
        </w:rPr>
        <w:t>从技术的角度看待历史</w:t>
      </w:r>
      <w:r>
        <w:rPr>
          <w:rFonts w:asciiTheme="minorEastAsia" w:hAnsiTheme="minorEastAsia" w:cs="宋体" w:hint="eastAsia"/>
          <w:color w:val="333333"/>
          <w:kern w:val="0"/>
          <w:szCs w:val="21"/>
        </w:rPr>
        <w:t>“。</w:t>
      </w:r>
    </w:p>
    <w:p w:rsidR="00ED237F" w:rsidRPr="00ED237F" w:rsidRDefault="00ED237F" w:rsidP="00ED237F">
      <w:pPr>
        <w:widowControl/>
        <w:shd w:val="clear" w:color="auto" w:fill="FFFFFF"/>
        <w:spacing w:line="360" w:lineRule="atLeast"/>
        <w:jc w:val="left"/>
        <w:rPr>
          <w:rFonts w:eastAsiaTheme="minorHAnsi" w:cs="宋体" w:hint="eastAsia"/>
          <w:color w:val="333333"/>
          <w:kern w:val="0"/>
          <w:szCs w:val="21"/>
        </w:rPr>
      </w:pPr>
    </w:p>
    <w:p w:rsidR="00216CEA" w:rsidRDefault="00216CEA" w:rsidP="00ED237F">
      <w:pPr>
        <w:jc w:val="left"/>
        <w:rPr>
          <w:highlight w:val="yellow"/>
        </w:rPr>
      </w:pPr>
      <w:r>
        <w:rPr>
          <w:rFonts w:hint="eastAsia"/>
          <w:highlight w:val="yellow"/>
        </w:rPr>
        <w:t>创作背景</w:t>
      </w:r>
    </w:p>
    <w:p w:rsidR="00216CEA" w:rsidRDefault="00216CEA" w:rsidP="00ED237F">
      <w:pPr>
        <w:jc w:val="left"/>
        <w:rPr>
          <w:rFonts w:asciiTheme="minorEastAsia" w:hAnsiTheme="minorEastAsia"/>
          <w:color w:val="121212"/>
          <w:szCs w:val="21"/>
          <w:shd w:val="clear" w:color="auto" w:fill="FFFFFF"/>
        </w:rPr>
      </w:pPr>
      <w:r w:rsidRPr="00216CEA">
        <w:rPr>
          <w:rFonts w:asciiTheme="minorEastAsia" w:hAnsiTheme="minorEastAsia" w:hint="eastAsia"/>
          <w:color w:val="121212"/>
          <w:szCs w:val="21"/>
          <w:shd w:val="clear" w:color="auto" w:fill="FFFFFF"/>
        </w:rPr>
        <w:t>黄仁宇四十八岁才入行历史学界，个人作品不多，他急需出版一本有分量的作品来证明自己的学术水平。因此这本书是他调动一生的经验和思考，精心果力全力以赴的作品</w:t>
      </w:r>
      <w:r w:rsidRPr="00216CEA">
        <w:rPr>
          <w:rFonts w:asciiTheme="minorEastAsia" w:hAnsiTheme="minorEastAsia" w:hint="eastAsia"/>
          <w:color w:val="121212"/>
          <w:szCs w:val="21"/>
        </w:rPr>
        <w:br/>
      </w:r>
      <w:r w:rsidRPr="00216CEA">
        <w:rPr>
          <w:rFonts w:asciiTheme="minorEastAsia" w:hAnsiTheme="minorEastAsia" w:hint="eastAsia"/>
          <w:color w:val="121212"/>
          <w:szCs w:val="21"/>
          <w:shd w:val="clear" w:color="auto" w:fill="FFFFFF"/>
        </w:rPr>
        <w:t>然而他收获的，却是美国多家出版社一次又一次地退稿</w:t>
      </w:r>
      <w:r>
        <w:rPr>
          <w:rFonts w:asciiTheme="minorEastAsia" w:hAnsiTheme="minorEastAsia" w:hint="eastAsia"/>
          <w:color w:val="121212"/>
          <w:szCs w:val="21"/>
          <w:shd w:val="clear" w:color="auto" w:fill="FFFFFF"/>
        </w:rPr>
        <w:t>。</w:t>
      </w:r>
    </w:p>
    <w:p w:rsidR="00216CEA" w:rsidRDefault="00216CEA" w:rsidP="00ED237F">
      <w:pPr>
        <w:jc w:val="left"/>
        <w:rPr>
          <w:rFonts w:asciiTheme="minorEastAsia" w:hAnsiTheme="minorEastAsia"/>
          <w:color w:val="121212"/>
          <w:szCs w:val="21"/>
          <w:shd w:val="clear" w:color="auto" w:fill="FFFFFF"/>
        </w:rPr>
      </w:pPr>
      <w:r w:rsidRPr="00216CEA">
        <w:rPr>
          <w:rFonts w:asciiTheme="minorEastAsia" w:hAnsiTheme="minorEastAsia" w:hint="eastAsia"/>
          <w:color w:val="121212"/>
          <w:szCs w:val="21"/>
          <w:shd w:val="clear" w:color="auto" w:fill="FFFFFF"/>
        </w:rPr>
        <w:t>因为在欧美出版无望，黄仁宇干脆自己动手把这部书稿译成中文，定名为《万历十五年》，托人带到国内碰碰运气，看看有没有出版的机会。</w:t>
      </w:r>
    </w:p>
    <w:p w:rsidR="00216CEA" w:rsidRDefault="00216CEA" w:rsidP="00ED237F">
      <w:pPr>
        <w:jc w:val="left"/>
        <w:rPr>
          <w:rFonts w:asciiTheme="minorEastAsia" w:hAnsiTheme="minorEastAsia"/>
          <w:color w:val="121212"/>
          <w:szCs w:val="21"/>
          <w:shd w:val="clear" w:color="auto" w:fill="FFFFFF"/>
        </w:rPr>
      </w:pPr>
      <w:r w:rsidRPr="00216CEA">
        <w:rPr>
          <w:rFonts w:asciiTheme="minorEastAsia" w:hAnsiTheme="minorEastAsia" w:hint="eastAsia"/>
          <w:color w:val="121212"/>
          <w:szCs w:val="21"/>
          <w:shd w:val="clear" w:color="auto" w:fill="FFFFFF"/>
        </w:rPr>
        <w:t>这本书在中华书局几经讨论和反复，终于</w:t>
      </w:r>
      <w:r>
        <w:rPr>
          <w:rFonts w:asciiTheme="minorEastAsia" w:hAnsiTheme="minorEastAsia" w:hint="eastAsia"/>
          <w:color w:val="121212"/>
          <w:szCs w:val="21"/>
          <w:shd w:val="clear" w:color="auto" w:fill="FFFFFF"/>
        </w:rPr>
        <w:t>在</w:t>
      </w:r>
      <w:r w:rsidRPr="00216CEA">
        <w:rPr>
          <w:rFonts w:asciiTheme="minorEastAsia" w:hAnsiTheme="minorEastAsia" w:hint="eastAsia"/>
          <w:color w:val="121212"/>
          <w:szCs w:val="21"/>
          <w:shd w:val="clear" w:color="auto" w:fill="FFFFFF"/>
        </w:rPr>
        <w:t>1982年出版。</w:t>
      </w:r>
    </w:p>
    <w:p w:rsidR="00216CEA" w:rsidRDefault="00216CEA" w:rsidP="00ED237F">
      <w:pPr>
        <w:jc w:val="left"/>
        <w:rPr>
          <w:rFonts w:asciiTheme="minorEastAsia" w:hAnsiTheme="minorEastAsia"/>
          <w:color w:val="121212"/>
          <w:szCs w:val="21"/>
          <w:shd w:val="clear" w:color="auto" w:fill="FFFFFF"/>
        </w:rPr>
      </w:pPr>
      <w:r w:rsidRPr="00216CEA">
        <w:rPr>
          <w:rFonts w:asciiTheme="minorEastAsia" w:hAnsiTheme="minorEastAsia" w:hint="eastAsia"/>
          <w:color w:val="121212"/>
          <w:szCs w:val="21"/>
          <w:shd w:val="clear" w:color="auto" w:fill="FFFFFF"/>
        </w:rPr>
        <w:t>虽然没有做任何营销，但是《万历十五年》还是迅速成为大陆最畅销的历史著作，迄今销售已经数百万册，成为</w:t>
      </w:r>
      <w:proofErr w:type="gramStart"/>
      <w:r w:rsidRPr="00216CEA">
        <w:rPr>
          <w:rFonts w:asciiTheme="minorEastAsia" w:hAnsiTheme="minorEastAsia" w:hint="eastAsia"/>
          <w:color w:val="121212"/>
          <w:szCs w:val="21"/>
          <w:shd w:val="clear" w:color="auto" w:fill="FFFFFF"/>
        </w:rPr>
        <w:t>现象级</w:t>
      </w:r>
      <w:proofErr w:type="gramEnd"/>
      <w:r w:rsidRPr="00216CEA">
        <w:rPr>
          <w:rFonts w:asciiTheme="minorEastAsia" w:hAnsiTheme="minorEastAsia" w:hint="eastAsia"/>
          <w:color w:val="121212"/>
          <w:szCs w:val="21"/>
          <w:shd w:val="clear" w:color="auto" w:fill="FFFFFF"/>
        </w:rPr>
        <w:t>出版物</w:t>
      </w:r>
    </w:p>
    <w:p w:rsidR="00216CEA" w:rsidRDefault="00216CEA" w:rsidP="00ED237F">
      <w:pPr>
        <w:jc w:val="left"/>
        <w:rPr>
          <w:rFonts w:asciiTheme="minorEastAsia" w:hAnsiTheme="minorEastAsia"/>
          <w:color w:val="121212"/>
          <w:szCs w:val="21"/>
          <w:shd w:val="clear" w:color="auto" w:fill="FFFFFF"/>
        </w:rPr>
      </w:pPr>
    </w:p>
    <w:p w:rsidR="00216CEA" w:rsidRDefault="00216CEA" w:rsidP="00ED237F">
      <w:pPr>
        <w:jc w:val="left"/>
        <w:rPr>
          <w:rFonts w:asciiTheme="minorEastAsia" w:hAnsiTheme="minorEastAsia"/>
          <w:color w:val="121212"/>
          <w:szCs w:val="21"/>
          <w:shd w:val="clear" w:color="auto" w:fill="FFFFFF"/>
        </w:rPr>
      </w:pPr>
      <w:r>
        <w:rPr>
          <w:rFonts w:asciiTheme="minorEastAsia" w:hAnsiTheme="minorEastAsia" w:hint="eastAsia"/>
          <w:color w:val="121212"/>
          <w:szCs w:val="21"/>
          <w:shd w:val="clear" w:color="auto" w:fill="FFFFFF"/>
        </w:rPr>
        <w:t>Q</w:t>
      </w:r>
      <w:r>
        <w:rPr>
          <w:rFonts w:asciiTheme="minorEastAsia" w:hAnsiTheme="minorEastAsia"/>
          <w:color w:val="121212"/>
          <w:szCs w:val="21"/>
          <w:shd w:val="clear" w:color="auto" w:fill="FFFFFF"/>
        </w:rPr>
        <w:t>:</w:t>
      </w:r>
      <w:r w:rsidRPr="00216CEA">
        <w:rPr>
          <w:rFonts w:asciiTheme="minorEastAsia" w:hAnsiTheme="minorEastAsia" w:hint="eastAsia"/>
          <w:color w:val="121212"/>
          <w:szCs w:val="21"/>
          <w:shd w:val="clear" w:color="auto" w:fill="FFFFFF"/>
        </w:rPr>
        <w:t>为什么这样一部最初不被看好的作品，后来在中国大获成功呢？</w:t>
      </w:r>
      <w:r w:rsidRPr="00216CEA">
        <w:rPr>
          <w:rFonts w:asciiTheme="minorEastAsia" w:hAnsiTheme="minorEastAsia" w:hint="eastAsia"/>
          <w:color w:val="121212"/>
          <w:szCs w:val="21"/>
        </w:rPr>
        <w:br/>
      </w:r>
      <w:r>
        <w:rPr>
          <w:rFonts w:asciiTheme="minorEastAsia" w:hAnsiTheme="minorEastAsia"/>
          <w:color w:val="121212"/>
          <w:szCs w:val="21"/>
        </w:rPr>
        <w:t>A:</w:t>
      </w:r>
      <w:r w:rsidRPr="00216CEA">
        <w:rPr>
          <w:rFonts w:asciiTheme="minorEastAsia" w:hAnsiTheme="minorEastAsia" w:hint="eastAsia"/>
          <w:color w:val="121212"/>
          <w:szCs w:val="21"/>
          <w:shd w:val="clear" w:color="auto" w:fill="FFFFFF"/>
        </w:rPr>
        <w:t>时代背景</w:t>
      </w:r>
    </w:p>
    <w:p w:rsidR="00216CEA" w:rsidRPr="00216CEA" w:rsidRDefault="00216CEA" w:rsidP="00ED237F">
      <w:pPr>
        <w:jc w:val="left"/>
        <w:rPr>
          <w:rFonts w:asciiTheme="minorEastAsia" w:hAnsiTheme="minorEastAsia" w:hint="eastAsia"/>
          <w:szCs w:val="21"/>
          <w:highlight w:val="yellow"/>
        </w:rPr>
      </w:pPr>
    </w:p>
    <w:p w:rsidR="00216CEA" w:rsidRPr="00216CEA" w:rsidRDefault="00216CEA" w:rsidP="00ED237F">
      <w:pPr>
        <w:jc w:val="left"/>
        <w:rPr>
          <w:rFonts w:asciiTheme="minorEastAsia" w:hAnsiTheme="minorEastAsia" w:hint="eastAsia"/>
          <w:szCs w:val="21"/>
          <w:highlight w:val="yellow"/>
        </w:rPr>
      </w:pPr>
      <w:r w:rsidRPr="00216CEA">
        <w:rPr>
          <w:rFonts w:asciiTheme="minorEastAsia" w:hAnsiTheme="minorEastAsia" w:hint="eastAsia"/>
          <w:color w:val="121212"/>
          <w:szCs w:val="21"/>
          <w:shd w:val="clear" w:color="auto" w:fill="FFFFFF"/>
        </w:rPr>
        <w:t>1949年后，大陆史学界对历史形成一系列固定的近乎公式化的解释，比如五阶段论、农民起义是历史前进动力论等。历史学界越来越呈现一种僵化、沉闷、压抑的局面。</w:t>
      </w:r>
      <w:r w:rsidRPr="00216CEA">
        <w:rPr>
          <w:rFonts w:asciiTheme="minorEastAsia" w:hAnsiTheme="minorEastAsia" w:hint="eastAsia"/>
          <w:color w:val="121212"/>
          <w:szCs w:val="21"/>
        </w:rPr>
        <w:br/>
      </w:r>
      <w:r w:rsidRPr="00216CEA">
        <w:rPr>
          <w:rFonts w:asciiTheme="minorEastAsia" w:hAnsiTheme="minorEastAsia" w:hint="eastAsia"/>
          <w:color w:val="121212"/>
          <w:szCs w:val="21"/>
          <w:shd w:val="clear" w:color="auto" w:fill="FFFFFF"/>
        </w:rPr>
        <w:t>而《万历十五年》的出现，如同在沉闷的房子里打开了一扇窗户，让刚从“文革”中走过来的中国文化界呼吸到了外面世界的新鲜空气。人们不约而同地惊叹：“原来历史可以这样写。”</w:t>
      </w:r>
    </w:p>
    <w:p w:rsidR="00E04E61" w:rsidRDefault="00E04E61" w:rsidP="00ED237F">
      <w:pPr>
        <w:jc w:val="left"/>
        <w:rPr>
          <w:highlight w:val="yellow"/>
        </w:rPr>
      </w:pPr>
      <w:r>
        <w:rPr>
          <w:rFonts w:hint="eastAsia"/>
          <w:highlight w:val="yellow"/>
        </w:rPr>
        <w:t>具体内容</w:t>
      </w:r>
    </w:p>
    <w:p w:rsidR="00216CEA" w:rsidRDefault="00E04E61" w:rsidP="00ED237F">
      <w:pPr>
        <w:jc w:val="left"/>
        <w:rPr>
          <w:rFonts w:ascii="等线" w:eastAsia="等线" w:hAnsi="等线"/>
          <w:color w:val="333333"/>
          <w:szCs w:val="21"/>
          <w:shd w:val="clear" w:color="auto" w:fill="FFFFFF"/>
        </w:rPr>
      </w:pPr>
      <w:r w:rsidRPr="00E04E61">
        <w:rPr>
          <w:rFonts w:ascii="等线" w:eastAsia="等线" w:hAnsi="等线"/>
          <w:color w:val="333333"/>
          <w:szCs w:val="21"/>
          <w:shd w:val="clear" w:color="auto" w:fill="FFFFFF"/>
        </w:rPr>
        <w:t>全书共分七章，分别写了最高统治者</w:t>
      </w:r>
      <w:r w:rsidRPr="00E04E61">
        <w:rPr>
          <w:rFonts w:ascii="等线" w:eastAsia="等线" w:hAnsi="等线"/>
          <w:szCs w:val="21"/>
          <w:shd w:val="clear" w:color="auto" w:fill="FFFFFF"/>
        </w:rPr>
        <w:t>万历皇帝</w:t>
      </w:r>
      <w:r w:rsidRPr="00E04E61">
        <w:rPr>
          <w:rFonts w:ascii="等线" w:eastAsia="等线" w:hAnsi="等线"/>
          <w:color w:val="333333"/>
          <w:szCs w:val="21"/>
          <w:shd w:val="clear" w:color="auto" w:fill="FFFFFF"/>
        </w:rPr>
        <w:t>、大学士</w:t>
      </w:r>
      <w:r w:rsidRPr="00E04E61">
        <w:rPr>
          <w:rFonts w:ascii="等线" w:eastAsia="等线" w:hAnsi="等线"/>
          <w:szCs w:val="21"/>
          <w:shd w:val="clear" w:color="auto" w:fill="FFFFFF"/>
        </w:rPr>
        <w:t>申时行</w:t>
      </w:r>
      <w:r w:rsidRPr="00E04E61">
        <w:rPr>
          <w:rFonts w:ascii="等线" w:eastAsia="等线" w:hAnsi="等线"/>
          <w:color w:val="333333"/>
          <w:szCs w:val="21"/>
          <w:shd w:val="clear" w:color="auto" w:fill="FFFFFF"/>
        </w:rPr>
        <w:t>、首辅</w:t>
      </w:r>
      <w:r w:rsidRPr="00E04E61">
        <w:rPr>
          <w:rFonts w:ascii="等线" w:eastAsia="等线" w:hAnsi="等线"/>
          <w:szCs w:val="21"/>
          <w:shd w:val="clear" w:color="auto" w:fill="FFFFFF"/>
        </w:rPr>
        <w:t>张居正</w:t>
      </w:r>
      <w:r w:rsidRPr="00E04E61">
        <w:rPr>
          <w:rFonts w:ascii="等线" w:eastAsia="等线" w:hAnsi="等线"/>
          <w:color w:val="333333"/>
          <w:szCs w:val="21"/>
          <w:shd w:val="clear" w:color="auto" w:fill="FFFFFF"/>
        </w:rPr>
        <w:t>、模范官僚</w:t>
      </w:r>
      <w:r w:rsidRPr="00E04E61">
        <w:rPr>
          <w:rFonts w:ascii="等线" w:eastAsia="等线" w:hAnsi="等线"/>
          <w:szCs w:val="21"/>
          <w:shd w:val="clear" w:color="auto" w:fill="FFFFFF"/>
        </w:rPr>
        <w:t>海瑞</w:t>
      </w:r>
      <w:r w:rsidRPr="00E04E61">
        <w:rPr>
          <w:rFonts w:ascii="等线" w:eastAsia="等线" w:hAnsi="等线"/>
          <w:color w:val="333333"/>
          <w:szCs w:val="21"/>
          <w:shd w:val="clear" w:color="auto" w:fill="FFFFFF"/>
        </w:rPr>
        <w:t>、自由派知识分子</w:t>
      </w:r>
      <w:r w:rsidRPr="00E04E61">
        <w:rPr>
          <w:rFonts w:ascii="等线" w:eastAsia="等线" w:hAnsi="等线"/>
          <w:szCs w:val="21"/>
          <w:shd w:val="clear" w:color="auto" w:fill="FFFFFF"/>
        </w:rPr>
        <w:t>李贽</w:t>
      </w:r>
      <w:r w:rsidRPr="00E04E61">
        <w:rPr>
          <w:rFonts w:ascii="等线" w:eastAsia="等线" w:hAnsi="等线"/>
          <w:color w:val="333333"/>
          <w:szCs w:val="21"/>
          <w:shd w:val="clear" w:color="auto" w:fill="FFFFFF"/>
        </w:rPr>
        <w:t>、抗倭英雄</w:t>
      </w:r>
      <w:r w:rsidRPr="00E04E61">
        <w:rPr>
          <w:rFonts w:ascii="等线" w:eastAsia="等线" w:hAnsi="等线"/>
          <w:szCs w:val="21"/>
          <w:shd w:val="clear" w:color="auto" w:fill="FFFFFF"/>
        </w:rPr>
        <w:t>戚继光</w:t>
      </w:r>
      <w:r w:rsidRPr="00E04E61">
        <w:rPr>
          <w:rFonts w:ascii="等线" w:eastAsia="等线" w:hAnsi="等线"/>
          <w:color w:val="333333"/>
          <w:szCs w:val="21"/>
          <w:shd w:val="clear" w:color="auto" w:fill="FFFFFF"/>
        </w:rPr>
        <w:t>等。同时，也写了他们之间存在的重重矛盾，如皇帝与群臣的矛盾，保守派与自由派的矛盾，官员与官员之间的矛盾等等</w:t>
      </w:r>
      <w:r>
        <w:rPr>
          <w:rFonts w:ascii="等线" w:eastAsia="等线" w:hAnsi="等线" w:hint="eastAsia"/>
          <w:color w:val="333333"/>
          <w:szCs w:val="21"/>
          <w:shd w:val="clear" w:color="auto" w:fill="FFFFFF"/>
        </w:rPr>
        <w:t>。</w:t>
      </w:r>
    </w:p>
    <w:p w:rsidR="00E04E61" w:rsidRDefault="00E04E61" w:rsidP="00ED237F">
      <w:pPr>
        <w:pStyle w:val="a4"/>
        <w:shd w:val="clear" w:color="auto" w:fill="FFFFFF"/>
        <w:spacing w:before="0" w:beforeAutospacing="0" w:after="336" w:afterAutospacing="0"/>
        <w:rPr>
          <w:rFonts w:asciiTheme="minorEastAsia" w:eastAsiaTheme="minorEastAsia" w:hAnsiTheme="minorEastAsia"/>
          <w:color w:val="121212"/>
          <w:sz w:val="21"/>
          <w:szCs w:val="21"/>
        </w:rPr>
      </w:pPr>
      <w:r w:rsidRPr="00E04E61">
        <w:rPr>
          <w:rFonts w:asciiTheme="minorEastAsia" w:eastAsiaTheme="minorEastAsia" w:hAnsiTheme="minorEastAsia" w:hint="eastAsia"/>
          <w:color w:val="121212"/>
          <w:sz w:val="21"/>
          <w:szCs w:val="21"/>
        </w:rPr>
        <w:t>《万历十五年》主要明白一</w:t>
      </w:r>
      <w:r w:rsidRPr="00E04E61">
        <w:rPr>
          <w:rFonts w:asciiTheme="minorEastAsia" w:eastAsiaTheme="minorEastAsia" w:hAnsiTheme="minorEastAsia" w:hint="eastAsia"/>
          <w:color w:val="121212"/>
          <w:sz w:val="21"/>
          <w:szCs w:val="21"/>
        </w:rPr>
        <w:t>个道理</w:t>
      </w:r>
      <w:r>
        <w:rPr>
          <w:rFonts w:asciiTheme="minorEastAsia" w:eastAsiaTheme="minorEastAsia" w:hAnsiTheme="minorEastAsia" w:hint="eastAsia"/>
          <w:color w:val="121212"/>
          <w:sz w:val="21"/>
          <w:szCs w:val="21"/>
        </w:rPr>
        <w:t>：</w:t>
      </w:r>
    </w:p>
    <w:p w:rsidR="00E04E61" w:rsidRPr="00E04E61" w:rsidRDefault="00E04E61" w:rsidP="00ED237F">
      <w:pPr>
        <w:pStyle w:val="a4"/>
        <w:shd w:val="clear" w:color="auto" w:fill="FFFFFF"/>
        <w:spacing w:before="0" w:beforeAutospacing="0" w:after="336" w:afterAutospacing="0"/>
        <w:rPr>
          <w:rFonts w:asciiTheme="minorEastAsia" w:eastAsiaTheme="minorEastAsia" w:hAnsiTheme="minorEastAsia" w:hint="eastAsia"/>
          <w:b/>
          <w:bCs/>
          <w:color w:val="121212"/>
          <w:sz w:val="21"/>
          <w:szCs w:val="21"/>
        </w:rPr>
      </w:pPr>
      <w:r w:rsidRPr="00E04E61">
        <w:rPr>
          <w:rFonts w:asciiTheme="minorEastAsia" w:eastAsiaTheme="minorEastAsia" w:hAnsiTheme="minorEastAsia" w:hint="eastAsia"/>
          <w:color w:val="121212"/>
          <w:sz w:val="21"/>
          <w:szCs w:val="21"/>
        </w:rPr>
        <w:t>中国两千年来，以道德代替法律的“人治逻辑”在明代发展到了巅峰，但这套空泛僵化的逻辑并不能有效治理国家。这是一切问题的症结所在</w:t>
      </w:r>
      <w:r w:rsidRPr="00E04E61">
        <w:rPr>
          <w:rFonts w:asciiTheme="minorEastAsia" w:eastAsiaTheme="minorEastAsia" w:hAnsiTheme="minorEastAsia" w:hint="eastAsia"/>
          <w:b/>
          <w:bCs/>
          <w:color w:val="121212"/>
          <w:sz w:val="21"/>
          <w:szCs w:val="21"/>
        </w:rPr>
        <w:t>。</w:t>
      </w:r>
    </w:p>
    <w:p w:rsidR="00E04E61" w:rsidRPr="00E04E61" w:rsidRDefault="00E04E61" w:rsidP="00ED237F">
      <w:pPr>
        <w:jc w:val="left"/>
        <w:rPr>
          <w:rFonts w:ascii="宋体" w:eastAsia="宋体" w:hAnsi="宋体" w:cs="宋体" w:hint="eastAsia"/>
          <w:kern w:val="0"/>
          <w:sz w:val="24"/>
          <w:szCs w:val="24"/>
        </w:rPr>
      </w:pPr>
      <w:r>
        <w:rPr>
          <w:rFonts w:ascii="等线" w:eastAsia="等线" w:hAnsi="等线" w:hint="eastAsia"/>
          <w:szCs w:val="21"/>
        </w:rPr>
        <w:lastRenderedPageBreak/>
        <w:t>六大主要人物：</w:t>
      </w:r>
    </w:p>
    <w:p w:rsidR="00E04E61" w:rsidRP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kern w:val="0"/>
          <w:szCs w:val="21"/>
        </w:rPr>
        <w:t>在万历皇帝年幼的时候，</w:t>
      </w:r>
      <w:r w:rsidRPr="00E04E61">
        <w:rPr>
          <w:rFonts w:asciiTheme="minorEastAsia" w:hAnsiTheme="minorEastAsia" w:cs="宋体"/>
          <w:b/>
          <w:bCs/>
          <w:kern w:val="0"/>
          <w:szCs w:val="21"/>
        </w:rPr>
        <w:t>张居正</w:t>
      </w:r>
      <w:r w:rsidRPr="00E04E61">
        <w:rPr>
          <w:rFonts w:asciiTheme="minorEastAsia" w:hAnsiTheme="minorEastAsia" w:cs="宋体"/>
          <w:kern w:val="0"/>
          <w:szCs w:val="21"/>
        </w:rPr>
        <w:t>把持朝政，对朝政进行改革。然而，他的改革触动了从中央到地方的大部分人的利益，导致了两次对他的大规模攻击。他去世后，对他的清算终于成功，让他所有的改革成果付之东流。</w:t>
      </w:r>
    </w:p>
    <w:p w:rsidR="00E04E61" w:rsidRP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b/>
          <w:bCs/>
          <w:kern w:val="0"/>
          <w:szCs w:val="21"/>
        </w:rPr>
        <w:t>申时行</w:t>
      </w:r>
      <w:r w:rsidRPr="00E04E61">
        <w:rPr>
          <w:rFonts w:asciiTheme="minorEastAsia" w:hAnsiTheme="minorEastAsia" w:cs="宋体"/>
          <w:kern w:val="0"/>
          <w:szCs w:val="21"/>
        </w:rPr>
        <w:t>是张居正一手提拔上来的，但当上首辅的</w:t>
      </w:r>
      <w:proofErr w:type="gramStart"/>
      <w:r w:rsidRPr="00E04E61">
        <w:rPr>
          <w:rFonts w:asciiTheme="minorEastAsia" w:hAnsiTheme="minorEastAsia" w:cs="宋体"/>
          <w:kern w:val="0"/>
          <w:szCs w:val="21"/>
        </w:rPr>
        <w:t>老申并</w:t>
      </w:r>
      <w:proofErr w:type="gramEnd"/>
      <w:r w:rsidRPr="00E04E61">
        <w:rPr>
          <w:rFonts w:asciiTheme="minorEastAsia" w:hAnsiTheme="minorEastAsia" w:cs="宋体"/>
          <w:kern w:val="0"/>
          <w:szCs w:val="21"/>
        </w:rPr>
        <w:t>未念及恩情，在他主政期间，张居正的一切新政全都报废。而且老申经常和稀泥，在皇帝和群臣之间摇摆。但在双方愈演愈烈的矛盾下，他也无能为力，最后</w:t>
      </w:r>
      <w:proofErr w:type="gramStart"/>
      <w:r w:rsidRPr="00E04E61">
        <w:rPr>
          <w:rFonts w:asciiTheme="minorEastAsia" w:hAnsiTheme="minorEastAsia" w:cs="宋体"/>
          <w:kern w:val="0"/>
          <w:szCs w:val="21"/>
        </w:rPr>
        <w:t>被迫被</w:t>
      </w:r>
      <w:proofErr w:type="gramEnd"/>
      <w:r w:rsidRPr="00E04E61">
        <w:rPr>
          <w:rFonts w:asciiTheme="minorEastAsia" w:hAnsiTheme="minorEastAsia" w:cs="宋体"/>
          <w:kern w:val="0"/>
          <w:szCs w:val="21"/>
        </w:rPr>
        <w:t>弹劾下台。</w:t>
      </w:r>
    </w:p>
    <w:p w:rsidR="00E04E61" w:rsidRP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b/>
          <w:bCs/>
          <w:kern w:val="0"/>
          <w:szCs w:val="21"/>
        </w:rPr>
        <w:t>万历皇帝</w:t>
      </w:r>
      <w:r w:rsidRPr="00E04E61">
        <w:rPr>
          <w:rFonts w:asciiTheme="minorEastAsia" w:hAnsiTheme="minorEastAsia" w:cs="宋体"/>
          <w:kern w:val="0"/>
          <w:szCs w:val="21"/>
        </w:rPr>
        <w:t>，不过也是紫禁城中的一个囚徒。在道德伦理的束缚下和群臣党争的牵制下，精力充沛的他，想法根本不会得到实现。</w:t>
      </w:r>
    </w:p>
    <w:p w:rsidR="00E04E61" w:rsidRP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kern w:val="0"/>
          <w:szCs w:val="21"/>
        </w:rPr>
        <w:t>“古怪的模范官僚”用来概括</w:t>
      </w:r>
      <w:r w:rsidRPr="00E04E61">
        <w:rPr>
          <w:rFonts w:asciiTheme="minorEastAsia" w:hAnsiTheme="minorEastAsia" w:cs="宋体"/>
          <w:b/>
          <w:bCs/>
          <w:kern w:val="0"/>
          <w:szCs w:val="21"/>
        </w:rPr>
        <w:t>海瑞</w:t>
      </w:r>
      <w:r w:rsidRPr="00E04E61">
        <w:rPr>
          <w:rFonts w:asciiTheme="minorEastAsia" w:hAnsiTheme="minorEastAsia" w:cs="宋体"/>
          <w:kern w:val="0"/>
          <w:szCs w:val="21"/>
        </w:rPr>
        <w:t>再贴切不过。他完完全全遵循伦理道德，毫无个人私欲，拿着极低的俸禄，过着极简朴的生活。“严格要求”自己没问题，可海瑞还约束身边的人，也因此触碰到了部分官员的利益。他充分重视法律的作用并且执法不阿，但他不明白明代土地兼并的根源其实就是缺乏有效的货币制度和商业法律。</w:t>
      </w:r>
    </w:p>
    <w:p w:rsidR="00E04E61" w:rsidRP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kern w:val="0"/>
          <w:szCs w:val="21"/>
        </w:rPr>
        <w:t>在明代武将地位不高的情况下，要想对军事进行改革非常困难。</w:t>
      </w:r>
      <w:r w:rsidRPr="00E04E61">
        <w:rPr>
          <w:rFonts w:asciiTheme="minorEastAsia" w:hAnsiTheme="minorEastAsia" w:cs="宋体"/>
          <w:b/>
          <w:bCs/>
          <w:kern w:val="0"/>
          <w:szCs w:val="21"/>
        </w:rPr>
        <w:t>戚继光</w:t>
      </w:r>
      <w:r w:rsidRPr="00E04E61">
        <w:rPr>
          <w:rFonts w:asciiTheme="minorEastAsia" w:hAnsiTheme="minorEastAsia" w:cs="宋体"/>
          <w:kern w:val="0"/>
          <w:szCs w:val="21"/>
        </w:rPr>
        <w:t>之所以对军事整顿能成功，不仅是因为张居正、谭纶对他的知遇之恩，和他自己了解文官中的阴阳面，并且善加利用也有很大的关系。他属于能够适应欢迎以发挥自己才能的官员，“尽最大的能力做最多的事情”。</w:t>
      </w:r>
    </w:p>
    <w:p w:rsidR="00E04E61" w:rsidRDefault="00E04E61" w:rsidP="00ED237F">
      <w:pPr>
        <w:widowControl/>
        <w:spacing w:before="100" w:beforeAutospacing="1" w:after="100" w:afterAutospacing="1"/>
        <w:jc w:val="left"/>
        <w:rPr>
          <w:rFonts w:asciiTheme="minorEastAsia" w:hAnsiTheme="minorEastAsia" w:cs="宋体"/>
          <w:kern w:val="0"/>
          <w:szCs w:val="21"/>
        </w:rPr>
      </w:pPr>
      <w:r w:rsidRPr="00E04E61">
        <w:rPr>
          <w:rFonts w:asciiTheme="minorEastAsia" w:hAnsiTheme="minorEastAsia" w:cs="宋体"/>
          <w:b/>
          <w:bCs/>
          <w:kern w:val="0"/>
          <w:szCs w:val="21"/>
        </w:rPr>
        <w:t>李贽</w:t>
      </w:r>
      <w:r w:rsidRPr="00E04E61">
        <w:rPr>
          <w:rFonts w:asciiTheme="minorEastAsia" w:hAnsiTheme="minorEastAsia" w:cs="宋体"/>
          <w:kern w:val="0"/>
          <w:szCs w:val="21"/>
        </w:rPr>
        <w:t>的死，正是明代思想体系僵化的表现。李贽的异端思想对程朱理学的挑战，实际上是动摇了大明朝的思想基础。</w:t>
      </w:r>
    </w:p>
    <w:p w:rsidR="00ED237F" w:rsidRPr="00E04E61" w:rsidRDefault="00ED237F" w:rsidP="00ED237F">
      <w:pPr>
        <w:widowControl/>
        <w:spacing w:before="100" w:beforeAutospacing="1" w:after="100" w:afterAutospacing="1"/>
        <w:jc w:val="left"/>
        <w:rPr>
          <w:rFonts w:asciiTheme="minorEastAsia" w:hAnsiTheme="minorEastAsia" w:cs="宋体" w:hint="eastAsia"/>
          <w:kern w:val="0"/>
          <w:szCs w:val="21"/>
        </w:rPr>
      </w:pPr>
    </w:p>
    <w:p w:rsidR="00E04E61" w:rsidRDefault="00E04E61" w:rsidP="00ED237F">
      <w:pPr>
        <w:jc w:val="left"/>
        <w:rPr>
          <w:highlight w:val="yellow"/>
        </w:rPr>
      </w:pPr>
      <w:r>
        <w:rPr>
          <w:rFonts w:hint="eastAsia"/>
          <w:highlight w:val="yellow"/>
        </w:rPr>
        <w:t>作品手法</w:t>
      </w:r>
    </w:p>
    <w:p w:rsidR="00ED237F" w:rsidRPr="00ED237F" w:rsidRDefault="00ED237F" w:rsidP="00ED237F">
      <w:pPr>
        <w:widowControl/>
        <w:shd w:val="clear" w:color="auto" w:fill="FFFFFF"/>
        <w:spacing w:line="360" w:lineRule="atLeast"/>
        <w:jc w:val="left"/>
        <w:rPr>
          <w:rFonts w:asciiTheme="minorEastAsia" w:hAnsiTheme="minorEastAsia" w:cs="宋体"/>
          <w:color w:val="333333"/>
          <w:kern w:val="0"/>
          <w:szCs w:val="21"/>
        </w:rPr>
      </w:pPr>
      <w:r w:rsidRPr="00ED237F">
        <w:rPr>
          <w:rFonts w:asciiTheme="minorEastAsia" w:hAnsiTheme="minorEastAsia" w:cs="宋体" w:hint="eastAsia"/>
          <w:color w:val="333333"/>
          <w:kern w:val="0"/>
          <w:szCs w:val="21"/>
        </w:rPr>
        <w:t>主要思想</w:t>
      </w:r>
    </w:p>
    <w:p w:rsidR="00ED237F" w:rsidRPr="00ED237F" w:rsidRDefault="00ED237F" w:rsidP="00ED237F">
      <w:pPr>
        <w:widowControl/>
        <w:shd w:val="clear" w:color="auto" w:fill="FFFFFF"/>
        <w:spacing w:line="360" w:lineRule="atLeast"/>
        <w:jc w:val="left"/>
        <w:rPr>
          <w:rFonts w:asciiTheme="minorEastAsia" w:hAnsiTheme="minorEastAsia" w:cs="宋体" w:hint="eastAsia"/>
          <w:color w:val="333333"/>
          <w:kern w:val="0"/>
          <w:szCs w:val="21"/>
        </w:rPr>
      </w:pPr>
      <w:r w:rsidRPr="00ED237F">
        <w:rPr>
          <w:rFonts w:asciiTheme="minorEastAsia" w:hAnsiTheme="minorEastAsia" w:cs="宋体"/>
          <w:color w:val="333333"/>
          <w:kern w:val="0"/>
          <w:szCs w:val="21"/>
        </w:rPr>
        <w:t>《万历十五年》以1587年为关节点，在历史的脉络中延伸，从政治、经济、军事等各个方面的历史大事与人物着手，记叙了明朝中晚期的种种社会矛盾和开始走向衰败的迹象。作者指出，“这些事件，表面看来虽似末端小节，实质上却是以前发生大事的症结，也是将在以后掀起波澜的机缘。其间关系因果，恰为历史的重点”。正是从这些细枝末节的中，作者认识到，万历十五年是明朝甚至是整个中国封建社会走向灭亡的转折点，是历史的关节点</w:t>
      </w:r>
    </w:p>
    <w:p w:rsidR="00ED237F" w:rsidRPr="00ED237F" w:rsidRDefault="00ED237F" w:rsidP="00ED237F">
      <w:pPr>
        <w:jc w:val="left"/>
        <w:rPr>
          <w:rFonts w:hint="eastAsia"/>
          <w:highlight w:val="yellow"/>
        </w:rPr>
      </w:pPr>
    </w:p>
    <w:p w:rsidR="00ED237F" w:rsidRPr="00E04E61" w:rsidRDefault="00E04E61" w:rsidP="00ED237F">
      <w:pPr>
        <w:widowControl/>
        <w:shd w:val="clear" w:color="auto" w:fill="FFFFFF"/>
        <w:spacing w:line="360" w:lineRule="atLeast"/>
        <w:jc w:val="left"/>
        <w:rPr>
          <w:rFonts w:asciiTheme="minorEastAsia" w:hAnsiTheme="minorEastAsia" w:cs="宋体" w:hint="eastAsia"/>
          <w:color w:val="333333"/>
          <w:kern w:val="0"/>
          <w:szCs w:val="21"/>
        </w:rPr>
      </w:pPr>
      <w:proofErr w:type="gramStart"/>
      <w:r w:rsidRPr="00E04E61">
        <w:rPr>
          <w:rFonts w:asciiTheme="minorEastAsia" w:hAnsiTheme="minorEastAsia" w:cs="宋体"/>
          <w:color w:val="333333"/>
          <w:kern w:val="0"/>
          <w:szCs w:val="21"/>
        </w:rPr>
        <w:t>铺述方式</w:t>
      </w:r>
      <w:proofErr w:type="gramEnd"/>
    </w:p>
    <w:p w:rsidR="00E04E61" w:rsidRDefault="00E04E61" w:rsidP="00ED237F">
      <w:pPr>
        <w:widowControl/>
        <w:shd w:val="clear" w:color="auto" w:fill="FFFFFF"/>
        <w:spacing w:line="360" w:lineRule="atLeast"/>
        <w:jc w:val="left"/>
        <w:rPr>
          <w:rFonts w:asciiTheme="minorEastAsia" w:hAnsiTheme="minorEastAsia" w:cs="宋体"/>
          <w:color w:val="333333"/>
          <w:kern w:val="0"/>
          <w:szCs w:val="21"/>
        </w:rPr>
      </w:pPr>
      <w:r w:rsidRPr="00E04E61">
        <w:rPr>
          <w:rFonts w:asciiTheme="minorEastAsia" w:hAnsiTheme="minorEastAsia" w:cs="宋体"/>
          <w:color w:val="333333"/>
          <w:kern w:val="0"/>
          <w:szCs w:val="21"/>
        </w:rPr>
        <w:t>全书选择了万历皇帝、张居正、申时行、海瑞、戚继光、李贽等六个主要人物来解剖。书中的每一章，都像是主要人物的传记， 每部分都像是写某一个人，但作者展现的不仅仅是单个的人和事，其叙述的人和事都与当时的社会制度联系在一起，中央集权制度、内阁制、科举制、文官制度、朝服特点、丧礼程序等等。作者以传记体的铺叙方式展开，让读</w:t>
      </w:r>
      <w:r w:rsidRPr="00E04E61">
        <w:rPr>
          <w:rFonts w:asciiTheme="minorEastAsia" w:hAnsiTheme="minorEastAsia" w:cs="宋体"/>
          <w:color w:val="333333"/>
          <w:kern w:val="0"/>
          <w:szCs w:val="21"/>
        </w:rPr>
        <w:lastRenderedPageBreak/>
        <w:t>者对人物的生平、思想、政绩、履历有了一个整体的了解，但是，在铺排叙述的过程中，在大故事套小故事的串联中，作者展现的是人物生活背后更为广阔的社会历史。</w:t>
      </w:r>
      <w:bookmarkStart w:id="1" w:name="ref_2"/>
      <w:bookmarkEnd w:id="1"/>
    </w:p>
    <w:p w:rsidR="00ED237F" w:rsidRPr="00E04E61" w:rsidRDefault="00ED237F" w:rsidP="00ED237F">
      <w:pPr>
        <w:widowControl/>
        <w:shd w:val="clear" w:color="auto" w:fill="FFFFFF"/>
        <w:spacing w:line="360" w:lineRule="atLeast"/>
        <w:jc w:val="left"/>
        <w:rPr>
          <w:rFonts w:asciiTheme="minorEastAsia" w:hAnsiTheme="minorEastAsia" w:cs="宋体" w:hint="eastAsia"/>
          <w:color w:val="333333"/>
          <w:kern w:val="0"/>
          <w:szCs w:val="21"/>
        </w:rPr>
      </w:pPr>
    </w:p>
    <w:p w:rsidR="00E04E61" w:rsidRPr="00E04E61" w:rsidRDefault="00E04E61" w:rsidP="00ED237F">
      <w:pPr>
        <w:widowControl/>
        <w:shd w:val="clear" w:color="auto" w:fill="FFFFFF"/>
        <w:spacing w:line="360" w:lineRule="atLeast"/>
        <w:jc w:val="left"/>
        <w:rPr>
          <w:rFonts w:asciiTheme="minorEastAsia" w:hAnsiTheme="minorEastAsia" w:cs="宋体"/>
          <w:color w:val="333333"/>
          <w:kern w:val="0"/>
          <w:szCs w:val="21"/>
        </w:rPr>
      </w:pPr>
      <w:r w:rsidRPr="00E04E61">
        <w:rPr>
          <w:rFonts w:asciiTheme="minorEastAsia" w:hAnsiTheme="minorEastAsia" w:cs="宋体"/>
          <w:color w:val="333333"/>
          <w:kern w:val="0"/>
          <w:szCs w:val="21"/>
        </w:rPr>
        <w:t>叙事角度</w:t>
      </w:r>
    </w:p>
    <w:p w:rsidR="00E04E61" w:rsidRPr="00E04E61" w:rsidRDefault="00E04E61" w:rsidP="00ED237F">
      <w:pPr>
        <w:widowControl/>
        <w:shd w:val="clear" w:color="auto" w:fill="FFFFFF"/>
        <w:spacing w:line="360" w:lineRule="atLeast"/>
        <w:jc w:val="left"/>
        <w:rPr>
          <w:rFonts w:asciiTheme="minorEastAsia" w:hAnsiTheme="minorEastAsia" w:cs="宋体"/>
          <w:color w:val="333333"/>
          <w:kern w:val="0"/>
          <w:szCs w:val="21"/>
        </w:rPr>
      </w:pPr>
      <w:r w:rsidRPr="00E04E61">
        <w:rPr>
          <w:rFonts w:asciiTheme="minorEastAsia" w:hAnsiTheme="minorEastAsia" w:cs="宋体"/>
          <w:color w:val="333333"/>
          <w:kern w:val="0"/>
          <w:szCs w:val="21"/>
        </w:rPr>
        <w:t>《万历十五年》以散漫的笔调叙事，叙事视角转换灵活而自由。全书多以全能视角叙事，但作者常转换叙述的角度。如在第一章“万历皇帝”一章中，作者以万历皇帝的角度，描述了身为君主的种种限制与无奈，从深层角度分析了其消极</w:t>
      </w:r>
      <w:proofErr w:type="gramStart"/>
      <w:r w:rsidRPr="00E04E61">
        <w:rPr>
          <w:rFonts w:asciiTheme="minorEastAsia" w:hAnsiTheme="minorEastAsia" w:cs="宋体"/>
          <w:color w:val="333333"/>
          <w:kern w:val="0"/>
          <w:szCs w:val="21"/>
        </w:rPr>
        <w:t>怠</w:t>
      </w:r>
      <w:proofErr w:type="gramEnd"/>
      <w:r w:rsidRPr="00E04E61">
        <w:rPr>
          <w:rFonts w:asciiTheme="minorEastAsia" w:hAnsiTheme="minorEastAsia" w:cs="宋体"/>
          <w:color w:val="333333"/>
          <w:kern w:val="0"/>
          <w:szCs w:val="21"/>
        </w:rPr>
        <w:t>政的原因及其逐渐消极反抗的过程。作者从万历皇帝的角度展开分析，剖析其</w:t>
      </w:r>
      <w:proofErr w:type="gramStart"/>
      <w:r w:rsidRPr="00E04E61">
        <w:rPr>
          <w:rFonts w:asciiTheme="minorEastAsia" w:hAnsiTheme="minorEastAsia" w:cs="宋体"/>
          <w:color w:val="333333"/>
          <w:kern w:val="0"/>
          <w:szCs w:val="21"/>
        </w:rPr>
        <w:t>怠</w:t>
      </w:r>
      <w:proofErr w:type="gramEnd"/>
      <w:r w:rsidRPr="00E04E61">
        <w:rPr>
          <w:rFonts w:asciiTheme="minorEastAsia" w:hAnsiTheme="minorEastAsia" w:cs="宋体"/>
          <w:color w:val="333333"/>
          <w:kern w:val="0"/>
          <w:szCs w:val="21"/>
        </w:rPr>
        <w:t>政的原因，站在万历皇帝的视角，让读者看到了一个较为真实的、不一样的皇帝，使读者对万历皇帝有了更深入的了解，也使得万历皇帝这一形象生动而丰满，更对其昏庸的印象多了一份理解与同情。</w:t>
      </w:r>
    </w:p>
    <w:p w:rsidR="00E04E61" w:rsidRPr="00E04E61" w:rsidRDefault="00E04E61" w:rsidP="00ED237F">
      <w:pPr>
        <w:jc w:val="left"/>
        <w:rPr>
          <w:rFonts w:ascii="等线" w:eastAsia="等线" w:hAnsi="等线" w:hint="eastAsia"/>
          <w:szCs w:val="21"/>
        </w:rPr>
      </w:pPr>
    </w:p>
    <w:sectPr w:rsidR="00E04E61" w:rsidRPr="00E04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6A"/>
    <w:rsid w:val="00216CEA"/>
    <w:rsid w:val="002C026A"/>
    <w:rsid w:val="00E04E61"/>
    <w:rsid w:val="00ED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3CEE"/>
  <w15:chartTrackingRefBased/>
  <w15:docId w15:val="{9136CEAD-58E7-409F-8E67-656DC70F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E61"/>
    <w:pPr>
      <w:widowControl w:val="0"/>
      <w:jc w:val="both"/>
    </w:pPr>
  </w:style>
  <w:style w:type="paragraph" w:styleId="1">
    <w:name w:val="heading 1"/>
    <w:basedOn w:val="a"/>
    <w:next w:val="a"/>
    <w:link w:val="10"/>
    <w:uiPriority w:val="9"/>
    <w:qFormat/>
    <w:rsid w:val="002C026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D23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26A"/>
    <w:rPr>
      <w:b/>
      <w:bCs/>
      <w:kern w:val="44"/>
      <w:sz w:val="44"/>
      <w:szCs w:val="44"/>
    </w:rPr>
  </w:style>
  <w:style w:type="character" w:styleId="a3">
    <w:name w:val="Hyperlink"/>
    <w:basedOn w:val="a0"/>
    <w:uiPriority w:val="99"/>
    <w:semiHidden/>
    <w:unhideWhenUsed/>
    <w:rsid w:val="002C026A"/>
    <w:rPr>
      <w:color w:val="0000FF"/>
      <w:u w:val="single"/>
    </w:rPr>
  </w:style>
  <w:style w:type="paragraph" w:styleId="a4">
    <w:name w:val="Normal (Web)"/>
    <w:basedOn w:val="a"/>
    <w:uiPriority w:val="99"/>
    <w:semiHidden/>
    <w:unhideWhenUsed/>
    <w:rsid w:val="00E04E6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D237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0048">
      <w:bodyDiv w:val="1"/>
      <w:marLeft w:val="0"/>
      <w:marRight w:val="0"/>
      <w:marTop w:val="0"/>
      <w:marBottom w:val="0"/>
      <w:divBdr>
        <w:top w:val="none" w:sz="0" w:space="0" w:color="auto"/>
        <w:left w:val="none" w:sz="0" w:space="0" w:color="auto"/>
        <w:bottom w:val="none" w:sz="0" w:space="0" w:color="auto"/>
        <w:right w:val="none" w:sz="0" w:space="0" w:color="auto"/>
      </w:divBdr>
    </w:div>
    <w:div w:id="677200483">
      <w:bodyDiv w:val="1"/>
      <w:marLeft w:val="0"/>
      <w:marRight w:val="0"/>
      <w:marTop w:val="0"/>
      <w:marBottom w:val="0"/>
      <w:divBdr>
        <w:top w:val="none" w:sz="0" w:space="0" w:color="auto"/>
        <w:left w:val="none" w:sz="0" w:space="0" w:color="auto"/>
        <w:bottom w:val="none" w:sz="0" w:space="0" w:color="auto"/>
        <w:right w:val="none" w:sz="0" w:space="0" w:color="auto"/>
      </w:divBdr>
      <w:divsChild>
        <w:div w:id="618609593">
          <w:marLeft w:val="0"/>
          <w:marRight w:val="0"/>
          <w:marTop w:val="300"/>
          <w:marBottom w:val="180"/>
          <w:divBdr>
            <w:top w:val="none" w:sz="0" w:space="0" w:color="auto"/>
            <w:left w:val="none" w:sz="0" w:space="0" w:color="auto"/>
            <w:bottom w:val="none" w:sz="0" w:space="0" w:color="auto"/>
            <w:right w:val="none" w:sz="0" w:space="0" w:color="auto"/>
          </w:divBdr>
        </w:div>
        <w:div w:id="1427993245">
          <w:marLeft w:val="0"/>
          <w:marRight w:val="0"/>
          <w:marTop w:val="0"/>
          <w:marBottom w:val="225"/>
          <w:divBdr>
            <w:top w:val="none" w:sz="0" w:space="0" w:color="auto"/>
            <w:left w:val="none" w:sz="0" w:space="0" w:color="auto"/>
            <w:bottom w:val="none" w:sz="0" w:space="0" w:color="auto"/>
            <w:right w:val="none" w:sz="0" w:space="0" w:color="auto"/>
          </w:divBdr>
        </w:div>
      </w:divsChild>
    </w:div>
    <w:div w:id="684406547">
      <w:bodyDiv w:val="1"/>
      <w:marLeft w:val="0"/>
      <w:marRight w:val="0"/>
      <w:marTop w:val="0"/>
      <w:marBottom w:val="0"/>
      <w:divBdr>
        <w:top w:val="none" w:sz="0" w:space="0" w:color="auto"/>
        <w:left w:val="none" w:sz="0" w:space="0" w:color="auto"/>
        <w:bottom w:val="none" w:sz="0" w:space="0" w:color="auto"/>
        <w:right w:val="none" w:sz="0" w:space="0" w:color="auto"/>
      </w:divBdr>
      <w:divsChild>
        <w:div w:id="1303077620">
          <w:marLeft w:val="0"/>
          <w:marRight w:val="0"/>
          <w:marTop w:val="0"/>
          <w:marBottom w:val="225"/>
          <w:divBdr>
            <w:top w:val="none" w:sz="0" w:space="0" w:color="auto"/>
            <w:left w:val="none" w:sz="0" w:space="0" w:color="auto"/>
            <w:bottom w:val="none" w:sz="0" w:space="0" w:color="auto"/>
            <w:right w:val="none" w:sz="0" w:space="0" w:color="auto"/>
          </w:divBdr>
        </w:div>
        <w:div w:id="1649898872">
          <w:marLeft w:val="0"/>
          <w:marRight w:val="0"/>
          <w:marTop w:val="0"/>
          <w:marBottom w:val="225"/>
          <w:divBdr>
            <w:top w:val="none" w:sz="0" w:space="0" w:color="auto"/>
            <w:left w:val="none" w:sz="0" w:space="0" w:color="auto"/>
            <w:bottom w:val="none" w:sz="0" w:space="0" w:color="auto"/>
            <w:right w:val="none" w:sz="0" w:space="0" w:color="auto"/>
          </w:divBdr>
        </w:div>
      </w:divsChild>
    </w:div>
    <w:div w:id="848250380">
      <w:bodyDiv w:val="1"/>
      <w:marLeft w:val="0"/>
      <w:marRight w:val="0"/>
      <w:marTop w:val="0"/>
      <w:marBottom w:val="0"/>
      <w:divBdr>
        <w:top w:val="none" w:sz="0" w:space="0" w:color="auto"/>
        <w:left w:val="none" w:sz="0" w:space="0" w:color="auto"/>
        <w:bottom w:val="none" w:sz="0" w:space="0" w:color="auto"/>
        <w:right w:val="none" w:sz="0" w:space="0" w:color="auto"/>
      </w:divBdr>
      <w:divsChild>
        <w:div w:id="1972130636">
          <w:marLeft w:val="0"/>
          <w:marRight w:val="0"/>
          <w:marTop w:val="0"/>
          <w:marBottom w:val="0"/>
          <w:divBdr>
            <w:top w:val="none" w:sz="0" w:space="0" w:color="auto"/>
            <w:left w:val="none" w:sz="0" w:space="0" w:color="auto"/>
            <w:bottom w:val="none" w:sz="0" w:space="0" w:color="auto"/>
            <w:right w:val="none" w:sz="0" w:space="0" w:color="auto"/>
          </w:divBdr>
          <w:divsChild>
            <w:div w:id="1497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162">
      <w:bodyDiv w:val="1"/>
      <w:marLeft w:val="0"/>
      <w:marRight w:val="0"/>
      <w:marTop w:val="0"/>
      <w:marBottom w:val="0"/>
      <w:divBdr>
        <w:top w:val="none" w:sz="0" w:space="0" w:color="auto"/>
        <w:left w:val="none" w:sz="0" w:space="0" w:color="auto"/>
        <w:bottom w:val="none" w:sz="0" w:space="0" w:color="auto"/>
        <w:right w:val="none" w:sz="0" w:space="0" w:color="auto"/>
      </w:divBdr>
      <w:divsChild>
        <w:div w:id="914440279">
          <w:marLeft w:val="0"/>
          <w:marRight w:val="0"/>
          <w:marTop w:val="0"/>
          <w:marBottom w:val="225"/>
          <w:divBdr>
            <w:top w:val="none" w:sz="0" w:space="0" w:color="auto"/>
            <w:left w:val="none" w:sz="0" w:space="0" w:color="auto"/>
            <w:bottom w:val="none" w:sz="0" w:space="0" w:color="auto"/>
            <w:right w:val="none" w:sz="0" w:space="0" w:color="auto"/>
          </w:divBdr>
        </w:div>
        <w:div w:id="1695417755">
          <w:marLeft w:val="0"/>
          <w:marRight w:val="0"/>
          <w:marTop w:val="0"/>
          <w:marBottom w:val="225"/>
          <w:divBdr>
            <w:top w:val="none" w:sz="0" w:space="0" w:color="auto"/>
            <w:left w:val="none" w:sz="0" w:space="0" w:color="auto"/>
            <w:bottom w:val="none" w:sz="0" w:space="0" w:color="auto"/>
            <w:right w:val="none" w:sz="0" w:space="0" w:color="auto"/>
          </w:divBdr>
        </w:div>
        <w:div w:id="225645831">
          <w:marLeft w:val="0"/>
          <w:marRight w:val="0"/>
          <w:marTop w:val="0"/>
          <w:marBottom w:val="225"/>
          <w:divBdr>
            <w:top w:val="none" w:sz="0" w:space="0" w:color="auto"/>
            <w:left w:val="none" w:sz="0" w:space="0" w:color="auto"/>
            <w:bottom w:val="none" w:sz="0" w:space="0" w:color="auto"/>
            <w:right w:val="none" w:sz="0" w:space="0" w:color="auto"/>
          </w:divBdr>
        </w:div>
        <w:div w:id="12507706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dc:creator>
  <cp:keywords/>
  <dc:description/>
  <cp:lastModifiedBy>张 俊</cp:lastModifiedBy>
  <cp:revision>1</cp:revision>
  <dcterms:created xsi:type="dcterms:W3CDTF">2023-02-04T08:52:00Z</dcterms:created>
  <dcterms:modified xsi:type="dcterms:W3CDTF">2023-02-04T09:27:00Z</dcterms:modified>
</cp:coreProperties>
</file>