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FMCG Protocol</w:t>
      </w:r>
    </w:p>
    <w:p>
      <w:pPr>
        <w:spacing w:after="100"/>
      </w:pPr>
      <w:r>
        <w:rPr>
          <w:color w:val="444444"/>
          <w:sz w:val="30"/>
          <w:szCs w:val="30"/>
        </w:rPr>
        <w:t xml:space="preserve">Where we landed, and what we build</w:t>
      </w:r>
    </w:p>
    <w:p>
      <w:pPr>
        <w:spacing w:after="60"/>
      </w:pPr>
      <w:r>
        <w:rPr>
          <w:i/>
          <w:iCs/>
          <w:color w:val="666666"/>
          <w:sz w:val="21"/>
          <w:szCs w:val="21"/>
        </w:rPr>
        <w:t xml:space="preserve">Stefan, 26 July 2026</w:t>
      </w:r>
    </w:p>
    <w:p>
      <w:pPr>
        <w:pBdr>
          <w:bottom w:val="single" w:color="BBBBBB" w:sz="6" w:space="1"/>
        </w:pBdr>
        <w:spacing w:after="200" w:before="120"/>
      </w:pPr>
    </w:p>
    <w:p>
      <w:pPr>
        <w:pStyle w:val="Heading1"/>
        <w:spacing w:after="180" w:before="380"/>
      </w:pPr>
      <w:r>
        <w:rPr>
          <w:b/>
          <w:bCs/>
          <w:sz w:val="32"/>
          <w:szCs w:val="32"/>
        </w:rPr>
        <w:t xml:space="preserve">1.  What the research found, and why the plan changed</w:t>
      </w:r>
    </w:p>
    <w:p>
      <w:pPr>
        <w:spacing w:after="150" w:line="276"/>
      </w:pPr>
      <w:r>
        <w:rPr>
          <w:b w:val="false"/>
          <w:bCs w:val="false"/>
          <w:i w:val="false"/>
          <w:iCs w:val="false"/>
          <w:sz w:val="22"/>
          <w:szCs w:val="22"/>
        </w:rPr>
        <w:t xml:space="preserve">Over the past two weeks I ran nine deep research passes across Serbian and Romanian primary sources — official gazettes, EU law, regulator publications — and then had three separate AI systems try to destroy the result. This is what came back.</w:t>
      </w:r>
    </w:p>
    <w:p>
      <w:pPr>
        <w:pStyle w:val="Heading2"/>
        <w:spacing w:after="130" w:before="260"/>
      </w:pPr>
      <w:r>
        <w:rPr>
          <w:b/>
          <w:bCs/>
          <w:sz w:val="25"/>
          <w:szCs w:val="25"/>
        </w:rPr>
        <w:t xml:space="preserve">The Serbian state is already building the thing we were going to build</w:t>
      </w:r>
    </w:p>
    <w:p>
      <w:pPr>
        <w:spacing w:after="150" w:line="276"/>
      </w:pPr>
      <w:r>
        <w:rPr>
          <w:b/>
          <w:bCs/>
          <w:i w:val="false"/>
          <w:iCs w:val="false"/>
          <w:sz w:val="22"/>
          <w:szCs w:val="22"/>
        </w:rPr>
        <w:t xml:space="preserve">Zakon o elektronskim otpremnicama</w:t>
      </w:r>
      <w:r>
        <w:rPr>
          <w:b w:val="false"/>
          <w:bCs w:val="false"/>
          <w:i w:val="false"/>
          <w:iCs w:val="false"/>
          <w:sz w:val="22"/>
          <w:szCs w:val="22"/>
        </w:rPr>
        <w:t xml:space="preserve"> (Official Gazette RS 94/2024) creates a state electronic delivery note. The sender issues it, and the recipient is </w:t>
      </w:r>
      <w:r>
        <w:rPr>
          <w:b/>
          <w:bCs/>
          <w:i w:val="false"/>
          <w:iCs w:val="false"/>
          <w:sz w:val="22"/>
          <w:szCs w:val="22"/>
        </w:rPr>
        <w:t xml:space="preserve">obliged</w:t>
      </w:r>
      <w:r>
        <w:rPr>
          <w:b w:val="false"/>
          <w:bCs w:val="false"/>
          <w:i w:val="false"/>
          <w:iCs w:val="false"/>
          <w:sz w:val="22"/>
          <w:szCs w:val="22"/>
        </w:rPr>
        <w:t xml:space="preserve"> to confirm physical receipt — on the day of takeover, or within three working days. A second document, the </w:t>
      </w:r>
      <w:r>
        <w:rPr>
          <w:b/>
          <w:bCs/>
          <w:i w:val="false"/>
          <w:iCs w:val="false"/>
          <w:sz w:val="22"/>
          <w:szCs w:val="22"/>
        </w:rPr>
        <w:t xml:space="preserve">e-prijemnica</w:t>
      </w:r>
      <w:r>
        <w:rPr>
          <w:b w:val="false"/>
          <w:bCs w:val="false"/>
          <w:i w:val="false"/>
          <w:iCs w:val="false"/>
          <w:sz w:val="22"/>
          <w:szCs w:val="22"/>
        </w:rPr>
        <w:t xml:space="preserve">, records quantitative and qualitative acceptance, and allows the delivery to be rejected in whole or in part.</w:t>
      </w:r>
    </w:p>
    <w:p>
      <w:pPr>
        <w:spacing w:after="150" w:line="276"/>
      </w:pPr>
      <w:r>
        <w:rPr>
          <w:b w:val="false"/>
          <w:bCs w:val="false"/>
          <w:i w:val="false"/>
          <w:iCs w:val="false"/>
          <w:sz w:val="22"/>
          <w:szCs w:val="22"/>
        </w:rPr>
        <w:t xml:space="preserve">That is exactly the "both sides sign the delivery" idea we had. It is mandatory, free, run by the state, and it carries legal force we could never give it ourselves.</w:t>
      </w:r>
    </w:p>
    <w:p>
      <w:pPr>
        <w:spacing w:after="150" w:line="276"/>
      </w:pPr>
      <w:r>
        <w:rPr>
          <w:b w:val="false"/>
          <w:bCs w:val="false"/>
          <w:i w:val="false"/>
          <w:iCs w:val="false"/>
          <w:sz w:val="22"/>
          <w:szCs w:val="22"/>
        </w:rPr>
        <w:t xml:space="preserve">Two more findings point the same way:</w:t>
      </w:r>
    </w:p>
    <w:p>
      <w:pPr>
        <w:pStyle w:val="ListParagraph"/>
        <w:numPr>
          <w:ilvl w:val="0"/>
          <w:numId w:val="2"/>
        </w:numPr>
        <w:spacing w:after="90" w:line="276"/>
      </w:pPr>
      <w:r>
        <w:rPr>
          <w:b w:val="false"/>
          <w:bCs w:val="false"/>
          <w:i w:val="false"/>
          <w:iCs w:val="false"/>
          <w:sz w:val="22"/>
          <w:szCs w:val="22"/>
        </w:rPr>
        <w:t xml:space="preserve">Serbia’s amended factoring law (Official Gazette 109/2025) creates a Central Factoring Registry to stop the same invoice being financed twice, due by mid-2027. That was the other thing we thought we could offer.</w:t>
      </w:r>
    </w:p>
    <w:p>
      <w:pPr>
        <w:pStyle w:val="ListParagraph"/>
        <w:numPr>
          <w:ilvl w:val="0"/>
          <w:numId w:val="2"/>
        </w:numPr>
        <w:spacing w:after="90" w:line="276"/>
      </w:pPr>
      <w:r>
        <w:rPr>
          <w:b w:val="false"/>
          <w:bCs w:val="false"/>
          <w:i w:val="false"/>
          <w:iCs w:val="false"/>
          <w:sz w:val="22"/>
          <w:szCs w:val="22"/>
        </w:rPr>
        <w:t xml:space="preserve">Payment terms are already capped by law. Serbia’s Law on Trading Practices, in force 1 May 2026, caps them at 30 days for perishable food and 60 for the rest — and Serbia went wider than the EU requires, covering household chemicals, cosmetics, paper goods and diapers as well. Romania caps agri-food at 14 and 30 days.</w:t>
      </w:r>
    </w:p>
    <w:p>
      <w:pPr>
        <w:spacing w:after="60"/>
      </w:pPr>
    </w:p>
    <w:p>
      <w:pPr>
        <w:spacing w:after="150" w:line="276"/>
      </w:pPr>
      <w:r>
        <w:rPr>
          <w:b/>
          <w:bCs/>
          <w:i w:val="false"/>
          <w:iCs w:val="false"/>
          <w:sz w:val="22"/>
          <w:szCs w:val="22"/>
        </w:rPr>
        <w:t xml:space="preserve">So the registry idea is dead.</w:t>
      </w:r>
      <w:r>
        <w:rPr>
          <w:b w:val="false"/>
          <w:bCs w:val="false"/>
          <w:i w:val="false"/>
          <w:iCs w:val="false"/>
          <w:sz w:val="22"/>
          <w:szCs w:val="22"/>
        </w:rPr>
        <w:t xml:space="preserve"> Not because it was wrong — because the state is doing it, better than we could, for free.</w:t>
      </w:r>
    </w:p>
    <w:p>
      <w:pPr>
        <w:spacing w:after="150" w:line="276"/>
      </w:pPr>
      <w:r>
        <w:rPr>
          <w:b/>
          <w:bCs/>
          <w:i w:val="false"/>
          <w:iCs w:val="false"/>
          <w:sz w:val="22"/>
          <w:szCs w:val="22"/>
        </w:rPr>
        <w:t xml:space="preserve">What the state does not build:</w:t>
      </w:r>
      <w:r>
        <w:rPr>
          <w:b w:val="false"/>
          <w:bCs w:val="false"/>
          <w:i w:val="false"/>
          <w:iCs w:val="false"/>
          <w:sz w:val="22"/>
          <w:szCs w:val="22"/>
        </w:rPr>
        <w:t xml:space="preserve"> a price, a market, the actual payment date, or financing. No state system in either country records when an invoice was really paid. That is the commercial layer, and it is still empty.</w:t>
      </w:r>
    </w:p>
    <w:p>
      <w:pPr>
        <w:pStyle w:val="Heading1"/>
        <w:spacing w:after="180" w:before="380"/>
      </w:pPr>
      <w:r>
        <w:rPr>
          <w:b/>
          <w:bCs/>
          <w:sz w:val="32"/>
          <w:szCs w:val="32"/>
        </w:rPr>
        <w:t xml:space="preserve">2.  The law that works for us</w:t>
      </w:r>
    </w:p>
    <w:p>
      <w:pPr>
        <w:spacing w:after="150" w:line="276"/>
      </w:pPr>
      <w:r>
        <w:rPr>
          <w:b w:val="false"/>
          <w:bCs w:val="false"/>
          <w:i w:val="false"/>
          <w:iCs w:val="false"/>
          <w:sz w:val="22"/>
          <w:szCs w:val="22"/>
        </w:rPr>
        <w:t xml:space="preserve">You liked that Frigo was backed by law. That backing is now stronger than it was.</w:t>
      </w:r>
    </w:p>
    <w:p>
      <w:pPr>
        <w:spacing w:after="150" w:line="276"/>
      </w:pPr>
      <w:r>
        <w:rPr>
          <w:b/>
          <w:bCs/>
          <w:i w:val="false"/>
          <w:iCs w:val="false"/>
          <w:sz w:val="22"/>
          <w:szCs w:val="22"/>
        </w:rPr>
        <w:t xml:space="preserve">Directive (EU) 2025/1892</w:t>
      </w:r>
      <w:r>
        <w:rPr>
          <w:b w:val="false"/>
          <w:bCs w:val="false"/>
          <w:i w:val="false"/>
          <w:iCs w:val="false"/>
          <w:sz w:val="22"/>
          <w:szCs w:val="22"/>
        </w:rPr>
        <w:t xml:space="preserve">, in force 16 October 2025, sets binding national food waste reduction targets for 2030:</w:t>
      </w:r>
    </w:p>
    <w:p>
      <w:pPr>
        <w:pStyle w:val="ListParagraph"/>
        <w:numPr>
          <w:ilvl w:val="0"/>
          <w:numId w:val="2"/>
        </w:numPr>
        <w:spacing w:after="90" w:line="276"/>
      </w:pPr>
      <w:r>
        <w:rPr>
          <w:b/>
          <w:bCs/>
          <w:i w:val="false"/>
          <w:iCs w:val="false"/>
          <w:sz w:val="22"/>
          <w:szCs w:val="22"/>
        </w:rPr>
        <w:t xml:space="preserve">−10% in processing and manufacturing</w:t>
      </w:r>
    </w:p>
    <w:p>
      <w:pPr>
        <w:pStyle w:val="ListParagraph"/>
        <w:numPr>
          <w:ilvl w:val="0"/>
          <w:numId w:val="2"/>
        </w:numPr>
        <w:spacing w:after="90" w:line="276"/>
      </w:pPr>
      <w:r>
        <w:rPr>
          <w:b w:val="false"/>
          <w:bCs w:val="false"/>
          <w:i w:val="false"/>
          <w:iCs w:val="false"/>
          <w:sz w:val="22"/>
          <w:szCs w:val="22"/>
        </w:rPr>
        <w:t xml:space="preserve">−30% per capita at retail and consumption</w:t>
      </w:r>
    </w:p>
    <w:p>
      <w:pPr>
        <w:spacing w:after="150" w:line="276"/>
      </w:pPr>
      <w:r>
        <w:rPr>
          <w:b w:val="false"/>
          <w:bCs w:val="false"/>
          <w:i w:val="false"/>
          <w:iCs w:val="false"/>
          <w:sz w:val="22"/>
          <w:szCs w:val="22"/>
        </w:rPr>
        <w:t xml:space="preserve">measured against the 2021–2023 average. Member States must adapt their national food waste prevention programmes by 17 October 2027.</w:t>
      </w:r>
    </w:p>
    <w:p>
      <w:pPr>
        <w:spacing w:after="150" w:line="276"/>
      </w:pPr>
      <w:r>
        <w:rPr>
          <w:b w:val="false"/>
          <w:bCs w:val="false"/>
          <w:i w:val="false"/>
          <w:iCs w:val="false"/>
          <w:sz w:val="22"/>
          <w:szCs w:val="22"/>
        </w:rPr>
        <w:t xml:space="preserve">Two things to be precise about, because we will be asked:</w:t>
      </w:r>
    </w:p>
    <w:p>
      <w:pPr>
        <w:pStyle w:val="ListParagraph"/>
        <w:numPr>
          <w:ilvl w:val="0"/>
          <w:numId w:val="2"/>
        </w:numPr>
        <w:spacing w:after="90" w:line="276"/>
      </w:pPr>
      <w:r>
        <w:rPr>
          <w:b w:val="false"/>
          <w:bCs w:val="false"/>
          <w:i w:val="false"/>
          <w:iCs w:val="false"/>
          <w:sz w:val="22"/>
          <w:szCs w:val="22"/>
        </w:rPr>
        <w:t xml:space="preserve">The targets bind </w:t>
      </w:r>
      <w:r>
        <w:rPr>
          <w:b/>
          <w:bCs/>
          <w:i w:val="false"/>
          <w:iCs w:val="false"/>
          <w:sz w:val="22"/>
          <w:szCs w:val="22"/>
        </w:rPr>
        <w:t xml:space="preserve">Member States, not individual companies</w:t>
      </w:r>
      <w:r>
        <w:rPr>
          <w:b w:val="false"/>
          <w:bCs w:val="false"/>
          <w:i w:val="false"/>
          <w:iCs w:val="false"/>
          <w:sz w:val="22"/>
          <w:szCs w:val="22"/>
        </w:rPr>
        <w:t xml:space="preserve">. Governments will push measures down to operators, but no law today tells a producer to cut its own waste by 10%. We say it that way, not stronger.</w:t>
      </w:r>
    </w:p>
    <w:p>
      <w:pPr>
        <w:pStyle w:val="ListParagraph"/>
        <w:numPr>
          <w:ilvl w:val="0"/>
          <w:numId w:val="2"/>
        </w:numPr>
        <w:spacing w:after="90" w:line="276"/>
      </w:pPr>
      <w:r>
        <w:rPr>
          <w:b w:val="false"/>
          <w:bCs w:val="false"/>
          <w:i w:val="false"/>
          <w:iCs w:val="false"/>
          <w:sz w:val="22"/>
          <w:szCs w:val="22"/>
        </w:rPr>
        <w:t xml:space="preserve">Romania is bound. </w:t>
      </w:r>
      <w:r>
        <w:rPr>
          <w:b/>
          <w:bCs/>
          <w:i w:val="false"/>
          <w:iCs w:val="false"/>
          <w:sz w:val="22"/>
          <w:szCs w:val="22"/>
        </w:rPr>
        <w:t xml:space="preserve">Serbia is not</w:t>
      </w:r>
      <w:r>
        <w:rPr>
          <w:b w:val="false"/>
          <w:bCs w:val="false"/>
          <w:i w:val="false"/>
          <w:iCs w:val="false"/>
          <w:sz w:val="22"/>
          <w:szCs w:val="22"/>
        </w:rPr>
        <w:t xml:space="preserve"> — it is not an EU member. It aligns as a candidate country and its market will follow, but we cannot claim the directive applies there.</w:t>
      </w:r>
    </w:p>
    <w:p>
      <w:pPr>
        <w:spacing w:after="60"/>
      </w:pPr>
    </w:p>
    <w:p>
      <w:pPr>
        <w:spacing w:after="150" w:line="276"/>
      </w:pPr>
      <w:r>
        <w:rPr>
          <w:b w:val="false"/>
          <w:bCs w:val="false"/>
          <w:i w:val="false"/>
          <w:iCs w:val="false"/>
          <w:sz w:val="22"/>
          <w:szCs w:val="22"/>
        </w:rPr>
        <w:t xml:space="preserve">Why it still matters: the 10% target sits on </w:t>
      </w:r>
      <w:r>
        <w:rPr>
          <w:b/>
          <w:bCs/>
          <w:i w:val="false"/>
          <w:iCs w:val="false"/>
          <w:sz w:val="22"/>
          <w:szCs w:val="22"/>
        </w:rPr>
        <w:t xml:space="preserve">processing and manufacturing</w:t>
      </w:r>
      <w:r>
        <w:rPr>
          <w:b w:val="false"/>
          <w:bCs w:val="false"/>
          <w:i w:val="false"/>
          <w:iCs w:val="false"/>
          <w:sz w:val="22"/>
          <w:szCs w:val="22"/>
        </w:rPr>
        <w:t xml:space="preserve"> — the producer. And the EU’s own figures put processing and manufacturing at 18% of all food waste, against 7% for retail and distribution. The bigger number, and now the legal pressure, are both sitting on our customer.</w:t>
      </w:r>
    </w:p>
    <w:p>
      <w:pPr>
        <w:spacing w:after="150" w:line="276"/>
      </w:pPr>
      <w:r>
        <w:rPr>
          <w:b w:val="false"/>
          <w:bCs w:val="false"/>
          <w:i w:val="false"/>
          <w:iCs w:val="false"/>
          <w:sz w:val="22"/>
          <w:szCs w:val="22"/>
        </w:rPr>
        <w:t xml:space="preserve">This law also works in our favour later, if we take the idea from Serbia into other EU countries.</w:t>
      </w:r>
    </w:p>
    <w:p>
      <w:pPr>
        <w:pStyle w:val="Heading1"/>
        <w:spacing w:after="180" w:before="380"/>
      </w:pPr>
      <w:r>
        <w:rPr>
          <w:b/>
          <w:bCs/>
          <w:sz w:val="32"/>
          <w:szCs w:val="32"/>
        </w:rPr>
        <w:t xml:space="preserve">3.  The idea, in one line</w:t>
      </w:r>
    </w:p>
    <w:p>
      <w:pPr>
        <w:spacing w:after="150" w:line="276"/>
      </w:pPr>
      <w:r>
        <w:rPr>
          <w:b/>
          <w:bCs/>
          <w:i w:val="false"/>
          <w:iCs w:val="false"/>
          <w:sz w:val="22"/>
          <w:szCs w:val="22"/>
        </w:rPr>
        <w:t xml:space="preserve">A market for stock that is about to expire, sitting on top of the producer’s own inventory record.</w:t>
      </w:r>
    </w:p>
    <w:p>
      <w:pPr>
        <w:spacing w:after="150" w:line="276"/>
      </w:pPr>
      <w:r>
        <w:rPr>
          <w:b w:val="false"/>
          <w:bCs w:val="false"/>
          <w:i w:val="false"/>
          <w:iCs w:val="false"/>
          <w:sz w:val="22"/>
          <w:szCs w:val="22"/>
        </w:rPr>
        <w:t xml:space="preserve">How it runs:</w:t>
      </w:r>
    </w:p>
    <w:p>
      <w:pPr>
        <w:pStyle w:val="ListParagraph"/>
        <w:numPr>
          <w:ilvl w:val="0"/>
          <w:numId w:val="2"/>
        </w:numPr>
        <w:spacing w:after="90" w:line="276"/>
      </w:pPr>
      <w:r>
        <w:rPr>
          <w:b w:val="false"/>
          <w:bCs w:val="false"/>
          <w:i w:val="false"/>
          <w:iCs w:val="false"/>
          <w:sz w:val="22"/>
          <w:szCs w:val="22"/>
        </w:rPr>
        <w:t xml:space="preserve">The producer records its stock — product, quantity, expiry date, location — across all its operating points, in one record that none of them can rewrite afterwards.</w:t>
      </w:r>
    </w:p>
    <w:p>
      <w:pPr>
        <w:pStyle w:val="ListParagraph"/>
        <w:numPr>
          <w:ilvl w:val="0"/>
          <w:numId w:val="2"/>
        </w:numPr>
        <w:spacing w:after="90" w:line="276"/>
      </w:pPr>
      <w:r>
        <w:rPr>
          <w:b w:val="false"/>
          <w:bCs w:val="false"/>
          <w:i w:val="false"/>
          <w:iCs w:val="false"/>
          <w:sz w:val="22"/>
          <w:szCs w:val="22"/>
        </w:rPr>
        <w:t xml:space="preserve">Lots approaching their date surface automatically, because the system sees them before a person does.</w:t>
      </w:r>
    </w:p>
    <w:p>
      <w:pPr>
        <w:pStyle w:val="ListParagraph"/>
        <w:numPr>
          <w:ilvl w:val="0"/>
          <w:numId w:val="2"/>
        </w:numPr>
        <w:spacing w:after="90" w:line="276"/>
      </w:pPr>
      <w:r>
        <w:rPr>
          <w:b w:val="false"/>
          <w:bCs w:val="false"/>
          <w:i w:val="false"/>
          <w:iCs w:val="false"/>
          <w:sz w:val="22"/>
          <w:szCs w:val="22"/>
        </w:rPr>
        <w:t xml:space="preserve">Those lots go to a market with a </w:t>
      </w:r>
      <w:r>
        <w:rPr>
          <w:b/>
          <w:bCs/>
          <w:i w:val="false"/>
          <w:iCs w:val="false"/>
          <w:sz w:val="22"/>
          <w:szCs w:val="22"/>
        </w:rPr>
        <w:t xml:space="preserve">descending price</w:t>
      </w:r>
      <w:r>
        <w:rPr>
          <w:b w:val="false"/>
          <w:bCs w:val="false"/>
          <w:i w:val="false"/>
          <w:iCs w:val="false"/>
          <w:sz w:val="22"/>
          <w:szCs w:val="22"/>
        </w:rPr>
        <w:t xml:space="preserve">: the closer the expiry date, the lower the price. Buyers bid.</w:t>
      </w:r>
    </w:p>
    <w:p>
      <w:pPr>
        <w:pStyle w:val="ListParagraph"/>
        <w:numPr>
          <w:ilvl w:val="0"/>
          <w:numId w:val="2"/>
        </w:numPr>
        <w:spacing w:after="90" w:line="276"/>
      </w:pPr>
      <w:r>
        <w:rPr>
          <w:b w:val="false"/>
          <w:bCs w:val="false"/>
          <w:i w:val="false"/>
          <w:iCs w:val="false"/>
          <w:sz w:val="22"/>
          <w:szCs w:val="22"/>
        </w:rPr>
        <w:t xml:space="preserve">The money is held until pickup is confirmed, then released.</w:t>
      </w:r>
    </w:p>
    <w:p>
      <w:pPr>
        <w:spacing w:after="60"/>
      </w:pPr>
    </w:p>
    <w:p>
      <w:pPr>
        <w:spacing w:after="150" w:line="276"/>
      </w:pPr>
      <w:r>
        <w:rPr>
          <w:b w:val="false"/>
          <w:bCs w:val="false"/>
          <w:i w:val="false"/>
          <w:iCs w:val="false"/>
          <w:sz w:val="22"/>
          <w:szCs w:val="22"/>
        </w:rPr>
        <w:t xml:space="preserve">Your ten thousand litres of milk with twelve days left — exactly as you described it.</w:t>
      </w:r>
    </w:p>
    <w:p>
      <w:pPr>
        <w:pStyle w:val="Heading1"/>
        <w:spacing w:after="180" w:before="380"/>
      </w:pPr>
      <w:r>
        <w:rPr>
          <w:b/>
          <w:bCs/>
          <w:sz w:val="32"/>
          <w:szCs w:val="32"/>
        </w:rPr>
        <w:t xml:space="preserve">4.  Why a market, and not a registry</w:t>
      </w:r>
    </w:p>
    <w:p>
      <w:pPr>
        <w:spacing w:after="150" w:line="276"/>
      </w:pPr>
      <w:r>
        <w:rPr>
          <w:b/>
          <w:bCs/>
          <w:i w:val="false"/>
          <w:iCs w:val="false"/>
          <w:sz w:val="22"/>
          <w:szCs w:val="22"/>
        </w:rPr>
        <w:t xml:space="preserve">A registry records what already happened. A market creates a transaction that does not exist today.</w:t>
      </w:r>
      <w:r>
        <w:rPr>
          <w:b w:val="false"/>
          <w:bCs w:val="false"/>
          <w:i w:val="false"/>
          <w:iCs w:val="false"/>
          <w:sz w:val="22"/>
          <w:szCs w:val="22"/>
        </w:rPr>
        <w:t xml:space="preserve"> The state is nationalising the record of the past. Nobody is building the market.</w:t>
      </w:r>
    </w:p>
    <w:p>
      <w:pPr>
        <w:spacing w:after="150" w:line="276"/>
      </w:pPr>
      <w:r>
        <w:rPr>
          <w:b/>
          <w:bCs/>
          <w:i w:val="false"/>
          <w:iCs w:val="false"/>
          <w:sz w:val="22"/>
          <w:szCs w:val="22"/>
        </w:rPr>
        <w:t xml:space="preserve">And a market works from the first pair of participants.</w:t>
      </w:r>
      <w:r>
        <w:rPr>
          <w:b w:val="false"/>
          <w:bCs w:val="false"/>
          <w:i w:val="false"/>
          <w:iCs w:val="false"/>
          <w:sz w:val="22"/>
          <w:szCs w:val="22"/>
        </w:rPr>
        <w:t xml:space="preserve"> One seller and one buyer already get value. A registry is worth nothing until everybody joins — which is precisely what killed five well-funded blockchain trade platforms: we.trade, Marco Polo, TradeLens, Contour and B3i, all backed by major banks and shipping lines, all dead between 2022 and 2023. There is no successful counter-example anywhere in the world. We are not going to be the sixth.</w:t>
      </w:r>
    </w:p>
    <w:p>
      <w:pPr>
        <w:pStyle w:val="Heading1"/>
        <w:spacing w:after="180" w:before="380"/>
      </w:pPr>
      <w:r>
        <w:rPr>
          <w:b/>
          <w:bCs/>
          <w:sz w:val="32"/>
          <w:szCs w:val="32"/>
        </w:rPr>
        <w:t xml:space="preserve">5.  Two products, and which one goes to the Summit</w:t>
      </w:r>
    </w:p>
    <w:p>
      <w:pPr>
        <w:spacing w:after="150" w:line="276"/>
      </w:pPr>
      <w:r>
        <w:rPr>
          <w:b/>
          <w:bCs/>
          <w:i w:val="false"/>
          <w:iCs w:val="false"/>
          <w:sz w:val="22"/>
          <w:szCs w:val="22"/>
        </w:rPr>
        <w:t xml:space="preserve">The producer app.</w:t>
      </w:r>
      <w:r>
        <w:rPr>
          <w:b w:val="false"/>
          <w:bCs w:val="false"/>
          <w:i w:val="false"/>
          <w:iCs w:val="false"/>
          <w:sz w:val="22"/>
          <w:szCs w:val="22"/>
        </w:rPr>
        <w:t xml:space="preserve"> Stock across all operating points in one record, expiry visible, and later demand forecasting so production adapts to what actually sells. This is the one most likely to work commercially: a single customer decides alone, nobody else has to join, and it is the foundation everything else sits on — because it is where we would eventually see the whole flow, including the payment dates that no state system records.</w:t>
      </w:r>
    </w:p>
    <w:p>
      <w:pPr>
        <w:spacing w:after="150" w:line="276"/>
      </w:pPr>
      <w:r>
        <w:rPr>
          <w:b/>
          <w:bCs/>
          <w:i w:val="false"/>
          <w:iCs w:val="false"/>
          <w:sz w:val="22"/>
          <w:szCs w:val="22"/>
        </w:rPr>
        <w:t xml:space="preserve">The surplus market.</w:t>
      </w:r>
      <w:r>
        <w:rPr>
          <w:b w:val="false"/>
          <w:bCs w:val="false"/>
          <w:i w:val="false"/>
          <w:iCs w:val="false"/>
          <w:sz w:val="22"/>
          <w:szCs w:val="22"/>
        </w:rPr>
        <w:t xml:space="preserve"> The auction described above.</w:t>
      </w:r>
    </w:p>
    <w:p>
      <w:pPr>
        <w:spacing w:after="150" w:line="276"/>
      </w:pPr>
      <w:r>
        <w:rPr>
          <w:b/>
          <w:bCs/>
          <w:i w:val="false"/>
          <w:iCs w:val="false"/>
          <w:sz w:val="22"/>
          <w:szCs w:val="22"/>
        </w:rPr>
        <w:t xml:space="preserve">For Solana Summit, the focus is the market. Explicitly.</w:t>
      </w:r>
    </w:p>
    <w:p>
      <w:pPr>
        <w:spacing w:after="150" w:line="276"/>
      </w:pPr>
      <w:r>
        <w:rPr>
          <w:b w:val="false"/>
          <w:bCs w:val="false"/>
          <w:i w:val="false"/>
          <w:iCs w:val="false"/>
          <w:sz w:val="22"/>
          <w:szCs w:val="22"/>
        </w:rPr>
        <w:t xml:space="preserve">Two reasons. First, the app has no blockchain in it at all, and the Summit is a blockchain event — we would be the team that turned up to the wrong conference. Second, the market has one point where a blockchain genuinely earns its place: the money and the delivery confirmation settle together, automatically, without a bank sitting in the middle. That is a real answer to "why not just a database", and it takes ten seconds to show on stage.</w:t>
      </w:r>
    </w:p>
    <w:p>
      <w:pPr>
        <w:spacing w:after="150" w:line="276"/>
      </w:pPr>
      <w:r>
        <w:rPr>
          <w:b w:val="false"/>
          <w:bCs w:val="false"/>
          <w:i w:val="false"/>
          <w:iCs w:val="false"/>
          <w:sz w:val="22"/>
          <w:szCs w:val="22"/>
        </w:rPr>
        <w:t xml:space="preserve">The app is not dropped. It is the next layer, and it is what makes the financing layer possible later. It is simply not what we demonstrate in August.</w:t>
      </w:r>
    </w:p>
    <w:p>
      <w:pPr>
        <w:spacing w:after="150" w:line="276"/>
      </w:pPr>
      <w:r>
        <w:rPr>
          <w:b w:val="false"/>
          <w:bCs w:val="false"/>
          <w:i w:val="false"/>
          <w:iCs w:val="false"/>
          <w:sz w:val="22"/>
          <w:szCs w:val="22"/>
        </w:rPr>
        <w:t xml:space="preserve">One practical finding that shapes this: </w:t>
      </w:r>
      <w:r>
        <w:rPr>
          <w:b/>
          <w:bCs/>
          <w:i w:val="false"/>
          <w:iCs w:val="false"/>
          <w:sz w:val="22"/>
          <w:szCs w:val="22"/>
        </w:rPr>
        <w:t xml:space="preserve">we cannot hold the buyers’ money ourselves.</w:t>
      </w:r>
      <w:r>
        <w:rPr>
          <w:b w:val="false"/>
          <w:bCs w:val="false"/>
          <w:i w:val="false"/>
          <w:iCs w:val="false"/>
          <w:sz w:val="22"/>
          <w:szCs w:val="22"/>
        </w:rPr>
        <w:t xml:space="preserve"> Doing so is a regulated payment service in both countries and would need a licence. The normal solution — what every marketplace does, Stripe, Mangopay, Adyen — is to sit on top of a licensed payment provider that holds the funds while we only control the rules. So one of the partners we need to find is exactly that.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2026-07-26T15:36:30.211Z</dcterms:created>
  <dcterms:modified xsi:type="dcterms:W3CDTF">2026-07-26T15:36:30.211Z</dcterms:modified>
</cp:coreProperties>
</file>

<file path=docProps/custom.xml><?xml version="1.0" encoding="utf-8"?>
<Properties xmlns="http://schemas.openxmlformats.org/officeDocument/2006/custom-properties" xmlns:vt="http://schemas.openxmlformats.org/officeDocument/2006/docPropsVTypes"/>
</file>