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C2C2A"/>
          <w:sz w:val="38"/>
          <w:szCs w:val="38"/>
        </w:rPr>
        <w:t xml:space="preserve">FMCG Receivables Rail — Full Roadmap</w:t>
      </w:r>
    </w:p>
    <w:p>
      <w:pPr>
        <w:spacing w:after="200"/>
      </w:pPr>
      <w:r>
        <w:rPr>
          <w:i w:val="false"/>
          <w:iCs w:val="false"/>
          <w:color w:val="5F5E5A"/>
          <w:sz w:val="21"/>
          <w:szCs w:val="21"/>
        </w:rPr>
        <w:t xml:space="preserve">Reference document — layers 2 and 3, for when you want the bigger picture</w:t>
      </w:r>
    </w:p>
    <w:p>
      <w:pPr>
        <w:spacing w:after="120"/>
      </w:pPr>
      <w:r>
        <w:rPr>
          <w:color w:val="2C2C2A"/>
          <w:sz w:val="19"/>
          <w:szCs w:val="19"/>
        </w:rPr>
        <w:t xml:space="preserve">This goes deeper than the one-pager. It is not a near-term plan — it is a sequenced roadmap. Each layer below is built only after the previous one has real adoption, not on a fixed calendar.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color w:val="085041"/>
          <w:sz w:val="25"/>
          <w:szCs w:val="25"/>
        </w:rPr>
        <w:t xml:space="preserve">Layer 1 — Registry (now, Demo Day target)</w:t>
      </w:r>
    </w:p>
    <w:p>
      <w:pPr>
        <w:spacing w:after="120"/>
      </w:pPr>
      <w:r>
        <w:rPr>
          <w:color w:val="2C2C2A"/>
          <w:sz w:val="19"/>
          <w:szCs w:val="19"/>
        </w:rPr>
        <w:t xml:space="preserve">Verification, buyer confirmation, and anti-double-financing. We never touch the receivable, so no factoring license is required. Revenue: a per-check fee (a few euros per invoice) or a monthly/annual subscription, paid by the factor, not the distributor — priced against the cost of a single double-financing fraud event, not against nothing.</w:t>
      </w:r>
    </w:p>
    <w:p>
      <w:pPr>
        <w:spacing w:after="80" w:before="200"/>
      </w:pPr>
      <w:r>
        <w:rPr>
          <w:b/>
          <w:bCs/>
          <w:color w:val="085041"/>
          <w:sz w:val="25"/>
          <w:szCs w:val="25"/>
        </w:rPr>
        <w:t xml:space="preserve">The cross-border opportunity</w:t>
      </w:r>
    </w:p>
    <w:p>
      <w:pPr>
        <w:spacing w:after="120"/>
      </w:pPr>
      <w:r>
        <w:rPr>
          <w:color w:val="2C2C2A"/>
          <w:sz w:val="19"/>
          <w:szCs w:val="19"/>
        </w:rPr>
        <w:t xml:space="preserve">Serbia's new Central Factoring Registry (CFR, live since December 2025) and Romania's existing pledge registry (RNPM) both solve double financing — but only domestically. Neither sees an invoice that crosses the border. That corridor is where we operate, and it is the one gap no national registry can close by itself.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color w:val="085041"/>
          <w:sz w:val="25"/>
          <w:szCs w:val="25"/>
        </w:rPr>
        <w:t xml:space="preserve">Layer 2 — Marketplace (after adoption)</w:t>
      </w:r>
    </w:p>
    <w:p>
      <w:pPr>
        <w:spacing w:after="120"/>
      </w:pPr>
      <w:r>
        <w:rPr>
          <w:color w:val="2C2C2A"/>
          <w:sz w:val="19"/>
          <w:szCs w:val="19"/>
        </w:rPr>
        <w:t xml:space="preserve">Multiple licensed factors — for example Instant Factoring, Factris, or a bank's factoring desk — use the same registry independently of each other, including while competing with each other. We stay neutral: we do not finance anything, we only verify.</w:t>
      </w:r>
    </w:p>
    <w:p>
      <w:pPr>
        <w:spacing w:after="120"/>
      </w:pPr>
      <w:r>
        <w:rPr>
          <w:b/>
          <w:bCs/>
          <w:color w:val="2C2C2A"/>
          <w:sz w:val="19"/>
          <w:szCs w:val="19"/>
        </w:rPr>
        <w:t xml:space="preserve">Why this does not collapse into “vendor to one factor”: </w:t>
      </w:r>
      <w:r>
        <w:rPr>
          <w:color w:val="2C2C2A"/>
          <w:sz w:val="19"/>
          <w:szCs w:val="19"/>
        </w:rPr>
        <w:t xml:space="preserve">non-exclusivity is structural, not just a promise. The first factor we onboard is a design partner, not a controlling partner — no equity for access, no exclusivity.</w:t>
      </w:r>
    </w:p>
    <w:p>
      <w:pPr>
        <w:spacing w:after="120"/>
      </w:pPr>
      <w:r>
        <w:rPr>
          <w:b/>
          <w:bCs/>
          <w:color w:val="2C2C2A"/>
          <w:sz w:val="19"/>
          <w:szCs w:val="19"/>
        </w:rPr>
        <w:t xml:space="preserve">Network effect: </w:t>
      </w:r>
      <w:r>
        <w:rPr>
          <w:color w:val="2C2C2A"/>
          <w:sz w:val="19"/>
          <w:szCs w:val="19"/>
        </w:rPr>
        <w:t xml:space="preserve">every new factor that joins makes the registry more valuable for the others — fewer double-financing incidents slip through, more trust, more reason for the next factor to join.</w:t>
      </w:r>
    </w:p>
    <w:p>
      <w:pPr>
        <w:spacing w:after="120"/>
      </w:pPr>
      <w:r>
        <w:rPr>
          <w:b/>
          <w:bCs/>
          <w:color w:val="2C2C2A"/>
          <w:sz w:val="19"/>
          <w:szCs w:val="19"/>
        </w:rPr>
        <w:t xml:space="preserve">Monetization at this stage: </w:t>
      </w:r>
      <w:r>
        <w:rPr>
          <w:color w:val="2C2C2A"/>
          <w:sz w:val="19"/>
          <w:szCs w:val="19"/>
        </w:rPr>
        <w:t xml:space="preserve">the same fee/subscription model, plus — once volume is real — a small percentage fee on the value of financing that flows through registry-verified invoices. This is the lever that scales with market size, not just with the number of checks.</w:t>
      </w:r>
    </w:p>
    <w:p>
      <w:pPr>
        <w:spacing w:after="80" w:before="200"/>
      </w:pPr>
      <w:r>
        <w:rPr>
          <w:b/>
          <w:bCs/>
          <w:color w:val="085041"/>
          <w:sz w:val="25"/>
          <w:szCs w:val="25"/>
        </w:rPr>
        <w:t xml:space="preserve">Layer 3 — Own funding pool (later, only with real data)</w:t>
      </w:r>
    </w:p>
    <w:p>
      <w:pPr>
        <w:spacing w:after="120"/>
      </w:pPr>
      <w:r>
        <w:rPr>
          <w:b/>
          <w:bCs/>
          <w:color w:val="2C2C2A"/>
          <w:sz w:val="19"/>
          <w:szCs w:val="19"/>
        </w:rPr>
        <w:t xml:space="preserve">What it is: </w:t>
      </w:r>
      <w:r>
        <w:rPr>
          <w:color w:val="2C2C2A"/>
          <w:sz w:val="19"/>
          <w:szCs w:val="19"/>
        </w:rPr>
        <w:t xml:space="preserve">a direct financing vehicle — either through our own factoring license or a partnership with a licensed factor — through which LPs can fund a pool of verified invoices and earn yield. This is, in essence, the original FMCG Receivables Rail vision, built last, not first.</w:t>
      </w:r>
    </w:p>
    <w:p>
      <w:pPr>
        <w:spacing w:after="120"/>
      </w:pPr>
      <w:r>
        <w:rPr>
          <w:b/>
          <w:bCs/>
          <w:color w:val="2C2C2A"/>
          <w:sz w:val="19"/>
          <w:szCs w:val="19"/>
        </w:rPr>
        <w:t xml:space="preserve">Why not now: </w:t>
      </w:r>
      <w:r>
        <w:rPr>
          <w:color w:val="2C2C2A"/>
          <w:sz w:val="19"/>
          <w:szCs w:val="19"/>
        </w:rPr>
        <w:t xml:space="preserve">this needs three things we do not have yet — a factoring license (around EUR 340k minimum capital in Serbia, 6-12 months to obtain, or a partnership with an existing licensed factor), 12+ months of real repayment data to price risk honestly instead of guessing, and proven adoption, to negotiate a partnership from strength instead of from zero.</w:t>
      </w:r>
    </w:p>
    <w:p>
      <w:pPr>
        <w:spacing w:after="120"/>
      </w:pPr>
      <w:r>
        <w:rPr>
          <w:b/>
          <w:bCs/>
          <w:color w:val="2C2C2A"/>
          <w:sz w:val="19"/>
          <w:szCs w:val="19"/>
        </w:rPr>
        <w:t xml:space="preserve">The conflict of interest, named directly: </w:t>
      </w:r>
      <w:r>
        <w:rPr>
          <w:color w:val="2C2C2A"/>
          <w:sz w:val="19"/>
          <w:szCs w:val="19"/>
        </w:rPr>
        <w:t xml:space="preserve">if the same company that operates the neutral registry also operates a funding pool, it becomes both infrastructure and a market participant — a direct competitor to the very factors using the registry. That is a real problem if we do not structure around it.</w:t>
      </w:r>
    </w:p>
    <w:p>
      <w:pPr>
        <w:spacing w:after="120"/>
      </w:pPr>
      <w:r>
        <w:rPr>
          <w:b/>
          <w:bCs/>
          <w:color w:val="2C2C2A"/>
          <w:sz w:val="19"/>
          <w:szCs w:val="19"/>
        </w:rPr>
        <w:t xml:space="preserve">How we would resolve it, if we get there: </w:t>
      </w:r>
      <w:r>
        <w:rPr>
          <w:color w:val="2C2C2A"/>
          <w:sz w:val="19"/>
          <w:szCs w:val="19"/>
        </w:rPr>
        <w:t xml:space="preserve">a legally separate entity for the pool; pool infrastructure stays open to any licensed factor, not exclusive to us; clear governance so that, if asked “aren't you competing with your own customers”, the answer is “the pool is a separate entity that any licensed factor can plug into as a funding source.”</w:t>
      </w:r>
    </w:p>
    <w:p>
      <w:pPr>
        <w:spacing w:after="80" w:before="200"/>
      </w:pPr>
      <w:r>
        <w:rPr>
          <w:b/>
          <w:bCs/>
          <w:color w:val="085041"/>
          <w:sz w:val="25"/>
          <w:szCs w:val="25"/>
        </w:rPr>
        <w:t xml:space="preserve">Why this order, not the reverse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19"/>
          <w:szCs w:val="19"/>
        </w:rPr>
        <w:t xml:space="preserve">No real default data to calibrate a risk model → operating the registry for 12+ months with real data from multiple factors gets us exactly what a statistical default model needs before it can be trusted.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19"/>
          <w:szCs w:val="19"/>
        </w:rPr>
        <w:t xml:space="preserve">Economics that were only illustrative, not measured → real loss rates, real collection costs, real payment behavior replace assumptions.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19"/>
          <w:szCs w:val="19"/>
        </w:rPr>
        <w:t xml:space="preserve">No licensed factor partner identified → we would be negotiating from proven adoption, not from a cold outreach.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19"/>
          <w:szCs w:val="19"/>
        </w:rPr>
        <w:t xml:space="preserve">Plans presented as if already executed → nothing gets claimed as done until it is actually built and used.</w:t>
      </w:r>
    </w:p>
    <w:p>
      <w:pPr>
        <w:spacing w:after="120"/>
      </w:pPr>
      <w:r>
        <w:rPr>
          <w:color w:val="2C2C2A"/>
          <w:sz w:val="19"/>
          <w:szCs w:val="19"/>
        </w:rPr>
        <w:t xml:space="preserve">We are not skipping the original vision. We are sequencing it so that, by the time we attempt it, we have already solved what made it fragile the first time.</w:t>
      </w:r>
    </w:p>
    <w:sectPr>
      <w:pgSz w:w="11906" w:h="16838" w:orient="portrait"/>
      <w:pgMar w:top="1152" w:right="1224" w:bottom="1152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68dd10652f30000973705c24576c8f54b1c6fd1.png"/><Relationship Id="rId8" Type="http://schemas.openxmlformats.org/officeDocument/2006/relationships/image" Target="media/6d01ccbf80a79045526bf9fd3718d08e224707a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2026-07-23T15:42:36.318Z</dcterms:created>
  <dcterms:modified xsi:type="dcterms:W3CDTF">2026-07-23T15:42:36.318Z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