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C2C2A"/>
          <w:sz w:val="36"/>
          <w:szCs w:val="36"/>
        </w:rPr>
        <w:t xml:space="preserve">Questions for Vladislav — tonight</w:t>
      </w:r>
    </w:p>
    <w:p>
      <w:pPr>
        <w:spacing w:after="220"/>
      </w:pPr>
      <w:r>
        <w:rPr>
          <w:color w:val="5F5E5A"/>
          <w:sz w:val="20"/>
          <w:szCs w:val="20"/>
        </w:rPr>
        <w:t xml:space="preserve">Working checklist. Ask in this order — the first section decides everything else.</w:t>
      </w:r>
    </w:p>
    <w:p>
      <w:pPr>
        <w:pBdr>
          <w:bottom w:val="single" w:color="B4B2A9" w:sz="4" w:space="4"/>
        </w:pBdr>
        <w:spacing w:after="60" w:before="220"/>
      </w:pPr>
      <w:r>
        <w:rPr>
          <w:b/>
          <w:bCs/>
          <w:color w:val="085041"/>
          <w:sz w:val="23"/>
          <w:szCs w:val="23"/>
        </w:rPr>
        <w:t xml:space="preserve">1. Is there a real pain point at all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color w:val="2C2C2A"/>
          <w:sz w:val="21"/>
          <w:szCs w:val="21"/>
        </w:rPr>
        <w:t xml:space="preserve">Is double financing a real pain point for the distributors you know, or mostly theory?</w:t>
      </w:r>
    </w:p>
    <w:p>
      <w:pPr>
        <w:spacing w:after="160"/>
        <w:ind w:left="460"/>
      </w:pPr>
      <w:r>
        <w:rPr>
          <w:i/>
          <w:iCs/>
          <w:color w:val="5F5E5A"/>
          <w:sz w:val="18"/>
          <w:szCs w:val="18"/>
        </w:rPr>
        <w:t xml:space="preserve">Why: This is the single most load-bearing question. Everything else is downstream of this.</w:t>
      </w:r>
    </w:p>
    <w:p>
      <w:pPr>
        <w:spacing w:after="160"/>
        <w:ind w:left="460"/>
      </w:pPr>
      <w:r>
        <w:rPr>
          <w:i/>
          <w:iCs/>
          <w:color w:val="712B13"/>
          <w:sz w:val="18"/>
          <w:szCs w:val="18"/>
        </w:rPr>
        <w:t xml:space="preserve">If the answer is no: don't stop — ask questions 2 and 3 below before writing off the whole idea.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color w:val="2C2C2A"/>
          <w:sz w:val="21"/>
          <w:szCs w:val="21"/>
        </w:rPr>
        <w:t xml:space="preserve">Beyond fraud specifically: is the bigger everyday pain how long it takes to get an invoice financed at all — the speed and certainty of the decision, not fraud risk?</w:t>
      </w:r>
    </w:p>
    <w:p>
      <w:pPr>
        <w:spacing w:after="160"/>
        <w:ind w:left="460"/>
      </w:pPr>
      <w:r>
        <w:rPr>
          <w:i/>
          <w:iCs/>
          <w:color w:val="5F5E5A"/>
          <w:sz w:val="18"/>
          <w:szCs w:val="18"/>
        </w:rPr>
        <w:t xml:space="preserve">Why: Verification also removes friction/cost from underwriting, which may matter more than fraud prevention day to day.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color w:val="2C2C2A"/>
          <w:sz w:val="21"/>
          <w:szCs w:val="21"/>
        </w:rPr>
        <w:t xml:space="preserve">For small distributors who get rejected or ignored by factors — is it mainly because factors don't trust their creditworthiness (no track record), or because nobody bothers verifying a small invoice (not worth the manual effort for a small ticket)?</w:t>
      </w:r>
    </w:p>
    <w:p>
      <w:pPr>
        <w:spacing w:after="160"/>
        <w:ind w:left="460"/>
      </w:pPr>
      <w:r>
        <w:rPr>
          <w:i/>
          <w:iCs/>
          <w:color w:val="5F5E5A"/>
          <w:sz w:val="18"/>
          <w:szCs w:val="18"/>
        </w:rPr>
        <w:t xml:space="preserve">Why: Our registry only helps the second group. If it's almost always the first (real credit risk, no track record), verification alone will not unlock financing for them.</w:t>
      </w:r>
    </w:p>
    <w:p>
      <w:pPr>
        <w:spacing w:after="160"/>
        <w:ind w:left="460"/>
      </w:pPr>
      <w:r>
        <w:rPr>
          <w:i/>
          <w:iCs/>
          <w:color w:val="712B13"/>
          <w:sz w:val="18"/>
          <w:szCs w:val="18"/>
        </w:rPr>
        <w:t xml:space="preserve">If the answer is no: if it's overwhelmingly credit risk, not verification friction, that is a real signal the registry solves a smaller problem than hoped.</w:t>
      </w:r>
    </w:p>
    <w:p>
      <w:pPr>
        <w:pBdr>
          <w:bottom w:val="single" w:color="B4B2A9" w:sz="4" w:space="4"/>
        </w:pBdr>
        <w:spacing w:after="60" w:before="220"/>
      </w:pPr>
      <w:r>
        <w:rPr>
          <w:b/>
          <w:bCs/>
          <w:color w:val="085041"/>
          <w:sz w:val="23"/>
          <w:szCs w:val="23"/>
        </w:rPr>
        <w:t xml:space="preserve">2. Where does this pain actually live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color w:val="2C2C2A"/>
          <w:sz w:val="21"/>
          <w:szCs w:val="21"/>
        </w:rPr>
        <w:t xml:space="preserve">In your experience — especially in Bosnia — do distributors run into double-financing or invoice-authenticity problems where there is no state registry at all, unlike Serbia's new CFR?</w:t>
      </w:r>
    </w:p>
    <w:p>
      <w:pPr>
        <w:spacing w:after="160"/>
        <w:ind w:left="460"/>
      </w:pPr>
      <w:r>
        <w:rPr>
          <w:i/>
          <w:iCs/>
          <w:color w:val="5F5E5A"/>
          <w:sz w:val="18"/>
          <w:szCs w:val="18"/>
        </w:rPr>
        <w:t xml:space="preserve">Why: Serbia and Romania both now have (or are building) national anti-double-financing registries. Bosnia, Montenegro, North Macedonia, Albania, Kosovo do not — that gap is a more defensible market than “cross-border between two covered countries.”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color w:val="2C2C2A"/>
          <w:sz w:val="21"/>
          <w:szCs w:val="21"/>
        </w:rPr>
        <w:t xml:space="preserve">Roughly how much invoicing between distributors and retailers is genuinely cross-border (e.g. a Serbian entity invoicing a Romanian one directly), versus staying within one country?</w:t>
      </w:r>
    </w:p>
    <w:p>
      <w:pPr>
        <w:spacing w:after="160"/>
        <w:ind w:left="460"/>
      </w:pPr>
      <w:r>
        <w:rPr>
          <w:i/>
          <w:iCs/>
          <w:color w:val="5F5E5A"/>
          <w:sz w:val="18"/>
          <w:szCs w:val="18"/>
        </w:rPr>
        <w:t xml:space="preserve">Why: We suspect this is small — most retail purchasing is local, even for multinational chains, because of separate local legal entities per country. Worth checking against what you actually see.</w:t>
      </w:r>
    </w:p>
    <w:p>
      <w:pPr>
        <w:pBdr>
          <w:bottom w:val="single" w:color="B4B2A9" w:sz="4" w:space="4"/>
        </w:pBdr>
        <w:spacing w:after="60" w:before="220"/>
      </w:pPr>
      <w:r>
        <w:rPr>
          <w:b/>
          <w:bCs/>
          <w:color w:val="085041"/>
          <w:sz w:val="23"/>
          <w:szCs w:val="23"/>
        </w:rPr>
        <w:t xml:space="preserve">3. Framing and go-to-market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color w:val="2C2C2A"/>
          <w:sz w:val="21"/>
          <w:szCs w:val="21"/>
        </w:rPr>
        <w:t xml:space="preserve">What framing lands best with your banking and regulatory contacts: anti-fraud, working capital access, or infrastructure for licensed factors?</w:t>
      </w:r>
    </w:p>
    <w:p>
      <w:pPr>
        <w:spacing w:after="160"/>
        <w:ind w:left="460"/>
      </w:pPr>
      <w:r>
        <w:rPr>
          <w:i/>
          <w:iCs/>
          <w:color w:val="5F5E5A"/>
          <w:sz w:val="18"/>
          <w:szCs w:val="18"/>
        </w:rPr>
        <w:t xml:space="preserve">Why: Shapes how we pitch this on stage and in the application.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color w:val="2C2C2A"/>
          <w:sz w:val="21"/>
          <w:szCs w:val="21"/>
        </w:rPr>
        <w:t xml:space="preserve">Do you know how Serbia's new Central Factoring Registry (CFR) is actually used in practice — is checking it mandatory, is adoption enforced, do factors actually use it?</w:t>
      </w:r>
    </w:p>
    <w:p>
      <w:pPr>
        <w:spacing w:after="160"/>
        <w:ind w:left="460"/>
      </w:pPr>
      <w:r>
        <w:rPr>
          <w:i/>
          <w:iCs/>
          <w:color w:val="5F5E5A"/>
          <w:sz w:val="18"/>
          <w:szCs w:val="18"/>
        </w:rPr>
        <w:t xml:space="preserve">Why: If CFR is weakly enforced even in Serbia, that changes how strong “the state already solved this” really is, and what gap is left for us even domestically.</w:t>
      </w:r>
    </w:p>
    <w:p>
      <w:pPr>
        <w:pBdr>
          <w:bottom w:val="single" w:color="B4B2A9" w:sz="4" w:space="4"/>
        </w:pBdr>
        <w:spacing w:after="60" w:before="220"/>
      </w:pPr>
      <w:r>
        <w:rPr>
          <w:b/>
          <w:bCs/>
          <w:color w:val="085041"/>
          <w:sz w:val="23"/>
          <w:szCs w:val="23"/>
        </w:rPr>
        <w:t xml:space="preserve">4. Concrete deliverables — the 48-hour test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color w:val="2C2C2A"/>
          <w:sz w:val="21"/>
          <w:szCs w:val="21"/>
        </w:rPr>
        <w:t xml:space="preserve">Can you get an anonymized invoice, plus a short interview with a distributor, ideally by Friday?</w:t>
      </w:r>
    </w:p>
    <w:p>
      <w:pPr>
        <w:spacing w:after="160"/>
        <w:ind w:left="460"/>
      </w:pPr>
      <w:r>
        <w:rPr>
          <w:i/>
          <w:iCs/>
          <w:color w:val="5F5E5A"/>
          <w:sz w:val="18"/>
          <w:szCs w:val="18"/>
        </w:rPr>
        <w:t xml:space="preserve">Why: This is the single piece of evidence that turns the whole pitch from theory into fact.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color w:val="2C2C2A"/>
          <w:sz w:val="21"/>
          <w:szCs w:val="21"/>
        </w:rPr>
        <w:t xml:space="preserve">Can you confirm in writing how much time you can realistically commit over the next few weeks?</w:t>
      </w:r>
    </w:p>
    <w:p>
      <w:pPr>
        <w:spacing w:after="160"/>
        <w:ind w:left="460"/>
      </w:pPr>
      <w:r>
        <w:rPr>
          <w:i/>
          <w:iCs/>
          <w:color w:val="5F5E5A"/>
          <w:sz w:val="18"/>
          <w:szCs w:val="18"/>
        </w:rPr>
        <w:t xml:space="preserve">Why: Sets real expectations before any equity conversation.</w:t>
      </w:r>
    </w:p>
    <w:p>
      <w:pPr>
        <w:pBdr>
          <w:bottom w:val="single" w:color="B4B2A9" w:sz="4" w:space="4"/>
        </w:pBdr>
        <w:spacing w:after="60" w:before="220"/>
      </w:pPr>
      <w:r>
        <w:rPr>
          <w:b/>
          <w:bCs/>
          <w:color w:val="085041"/>
          <w:sz w:val="23"/>
          <w:szCs w:val="23"/>
        </w:rPr>
        <w:t xml:space="preserve">5. Licensed factor access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color w:val="2C2C2A"/>
          <w:sz w:val="21"/>
          <w:szCs w:val="21"/>
        </w:rPr>
        <w:t xml:space="preserve">Which licensed entities — factors, or banks with a factoring desk — do you actually have access to? Who, at what level, and can we get a conversation before the Summit?</w:t>
      </w:r>
    </w:p>
    <w:p>
      <w:pPr>
        <w:spacing w:after="160"/>
        <w:ind w:left="460"/>
      </w:pPr>
      <w:r>
        <w:rPr>
          <w:i/>
          <w:iCs/>
          <w:color w:val="5F5E5A"/>
          <w:sz w:val="18"/>
          <w:szCs w:val="18"/>
        </w:rPr>
        <w:t xml:space="preserve">Why: Needed both as a potential design partner and as validation that a real customer exists.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color w:val="2C2C2A"/>
          <w:sz w:val="21"/>
          <w:szCs w:val="21"/>
        </w:rPr>
        <w:t xml:space="preserve">Would any of them be open to being a non-exclusive design partner for a verification registry, as opposed to a full financing/licensing partnership?</w:t>
      </w:r>
    </w:p>
    <w:p>
      <w:pPr>
        <w:spacing w:after="160"/>
        <w:ind w:left="460"/>
      </w:pPr>
      <w:r>
        <w:rPr>
          <w:i/>
          <w:iCs/>
          <w:color w:val="5F5E5A"/>
          <w:sz w:val="18"/>
          <w:szCs w:val="18"/>
        </w:rPr>
        <w:t xml:space="preserve">Why: Non-exclusivity is structural to the pitch — the first factor must be a design partner, not a controlling one.</w:t>
      </w:r>
    </w:p>
    <w:sectPr>
      <w:pgSz w:w="11906" w:h="16838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2026-07-23T17:14:02.253Z</dcterms:created>
  <dcterms:modified xsi:type="dcterms:W3CDTF">2026-07-23T17:14:02.254Z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