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Light" w:hAnsi="Calibri Light"/>
          <w:b/>
          <w:color w:val="1F4E79"/>
          <w:sz w:val="48"/>
        </w:rPr>
        <w:t>Advanced Data Analysis &amp; Visualization Report:</w:t>
        <w:br/>
        <w:t>Logistics Operational Metrics</w:t>
      </w:r>
    </w:p>
    <w:p>
      <w:pPr>
        <w:spacing w:after="240"/>
      </w:pPr>
      <w:r>
        <w:rPr>
          <w:b/>
          <w:i/>
          <w:color w:val="595959"/>
          <w:sz w:val="22"/>
        </w:rPr>
        <w:t>Task: Week 3 – Advanced Data Analysis and Visualization in Logistics</w:t>
      </w:r>
    </w:p>
    <w:p>
      <w:pPr>
        <w:spacing w:after="360"/>
        <w:pBdr>
          <w:bottom w:val="single" w:sz="12" w:space="1" w:color="1F4E79"/>
        </w:pBdr>
      </w:pPr>
    </w:p>
    <w:p>
      <w:pPr>
        <w:keepNext/>
        <w:spacing w:before="360" w:after="120"/>
      </w:pPr>
      <w:r>
        <w:rPr>
          <w:rFonts w:ascii="Calibri Light" w:hAnsi="Calibri Light"/>
          <w:b/>
          <w:color w:val="1F4E79"/>
          <w:sz w:val="32"/>
        </w:rPr>
        <w:t>1. Executive Summary &amp; Dataset Simulation Setup</w:t>
      </w:r>
    </w:p>
    <w:p>
      <w:pPr>
        <w:spacing w:after="200" w:line="276" w:lineRule="auto"/>
      </w:pPr>
      <w:r>
        <w:t>In Week 3, the analytical focus shifts from raw data preprocessing to exploratory data analysis (EDA) and advanced visualization. To evaluate key logistics performance indicators (KPIs)—including delivery turnaround times, transportation cost drivers, and transit bottlenecks—a multi-variable hypothetical logistics dataset comprising 5,000 order records was synthesized.</w:t>
      </w:r>
    </w:p>
    <w:p>
      <w:pPr>
        <w:keepNext/>
        <w:spacing w:before="280" w:after="80"/>
      </w:pPr>
      <w:r>
        <w:rPr>
          <w:rFonts w:ascii="Calibri" w:hAnsi="Calibri"/>
          <w:b/>
          <w:color w:val="595959"/>
          <w:sz w:val="26"/>
        </w:rPr>
        <w:t>Dataset Variables &amp; Schema</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rPr>
          <w:cantSplit/>
          <w:tblHeader/>
        </w:trPr>
        <w:tc>
          <w:tcPr>
            <w:tcW w:type="dxa" w:w="2304"/>
            <w:vAlign w:val="center"/>
            <w:shd w:fill="1F4E79"/>
            <w:tcMar>
              <w:top w:w="120" w:type="dxa"/>
              <w:bottom w:w="120" w:type="dxa"/>
              <w:left w:w="100" w:type="dxa"/>
              <w:right w:w="100" w:type="dxa"/>
            </w:tcMar>
          </w:tcPr>
          <w:p>
            <w:pPr>
              <w:spacing w:before="80" w:after="80" w:line="240" w:lineRule="auto"/>
            </w:pPr>
            <w:r>
              <w:rPr>
                <w:b/>
                <w:color w:val="FFFFFF"/>
                <w:sz w:val="19"/>
              </w:rPr>
              <w:t>Variable Name</w:t>
            </w:r>
          </w:p>
        </w:tc>
        <w:tc>
          <w:tcPr>
            <w:tcW w:type="dxa" w:w="1296"/>
            <w:vAlign w:val="center"/>
            <w:shd w:fill="1F4E79"/>
            <w:tcMar>
              <w:top w:w="120" w:type="dxa"/>
              <w:bottom w:w="120" w:type="dxa"/>
              <w:left w:w="100" w:type="dxa"/>
              <w:right w:w="100" w:type="dxa"/>
            </w:tcMar>
          </w:tcPr>
          <w:p>
            <w:pPr>
              <w:spacing w:before="80" w:after="80" w:line="240" w:lineRule="auto"/>
            </w:pPr>
            <w:r>
              <w:rPr>
                <w:b/>
                <w:color w:val="FFFFFF"/>
                <w:sz w:val="19"/>
              </w:rPr>
              <w:t>Data Type</w:t>
            </w:r>
          </w:p>
        </w:tc>
        <w:tc>
          <w:tcPr>
            <w:tcW w:type="dxa" w:w="3744"/>
            <w:vAlign w:val="center"/>
            <w:shd w:fill="1F4E79"/>
            <w:tcMar>
              <w:top w:w="120" w:type="dxa"/>
              <w:bottom w:w="120" w:type="dxa"/>
              <w:left w:w="100" w:type="dxa"/>
              <w:right w:w="100" w:type="dxa"/>
            </w:tcMar>
          </w:tcPr>
          <w:p>
            <w:pPr>
              <w:spacing w:before="80" w:after="80" w:line="240" w:lineRule="auto"/>
            </w:pPr>
            <w:r>
              <w:rPr>
                <w:b/>
                <w:color w:val="FFFFFF"/>
                <w:sz w:val="19"/>
              </w:rPr>
              <w:t>Logistics Domain Context</w:t>
            </w:r>
          </w:p>
        </w:tc>
        <w:tc>
          <w:tcPr>
            <w:tcW w:type="dxa" w:w="2016"/>
            <w:vAlign w:val="center"/>
            <w:shd w:fill="1F4E79"/>
            <w:tcMar>
              <w:top w:w="120" w:type="dxa"/>
              <w:bottom w:w="120" w:type="dxa"/>
              <w:left w:w="100" w:type="dxa"/>
              <w:right w:w="100" w:type="dxa"/>
            </w:tcMar>
          </w:tcPr>
          <w:p>
            <w:pPr>
              <w:spacing w:before="80" w:after="80" w:line="240" w:lineRule="auto"/>
            </w:pPr>
            <w:r>
              <w:rPr>
                <w:b/>
                <w:color w:val="FFFFFF"/>
                <w:sz w:val="19"/>
              </w:rPr>
              <w:t>Key Metric / Unit</w:t>
            </w:r>
          </w:p>
        </w:tc>
      </w:tr>
      <w:tr>
        <w:trPr>
          <w:cantSplit/>
        </w:trPr>
        <w:tc>
          <w:tcPr>
            <w:tcW w:type="dxa" w:w="2304"/>
            <w:vAlign w:val="center"/>
            <w:shd w:fill="F2F4F8"/>
            <w:tcMar>
              <w:top w:w="100" w:type="dxa"/>
              <w:bottom w:w="100" w:type="dxa"/>
              <w:left w:w="100" w:type="dxa"/>
              <w:right w:w="100" w:type="dxa"/>
            </w:tcMar>
          </w:tcPr>
          <w:p>
            <w:pPr>
              <w:spacing w:before="80" w:after="80" w:line="240" w:lineRule="auto"/>
            </w:pPr>
            <w:r>
              <w:rPr>
                <w:sz w:val="18"/>
              </w:rPr>
              <w:t>Shipment_ID</w:t>
            </w:r>
          </w:p>
        </w:tc>
        <w:tc>
          <w:tcPr>
            <w:tcW w:type="dxa" w:w="1296"/>
            <w:vAlign w:val="center"/>
            <w:shd w:fill="F2F4F8"/>
            <w:tcMar>
              <w:top w:w="100" w:type="dxa"/>
              <w:bottom w:w="100" w:type="dxa"/>
              <w:left w:w="100" w:type="dxa"/>
              <w:right w:w="100" w:type="dxa"/>
            </w:tcMar>
          </w:tcPr>
          <w:p>
            <w:pPr>
              <w:spacing w:before="80" w:after="80" w:line="240" w:lineRule="auto"/>
            </w:pPr>
            <w:r>
              <w:rPr>
                <w:sz w:val="18"/>
              </w:rPr>
              <w:t>String</w:t>
            </w:r>
          </w:p>
        </w:tc>
        <w:tc>
          <w:tcPr>
            <w:tcW w:type="dxa" w:w="3744"/>
            <w:vAlign w:val="center"/>
            <w:shd w:fill="F2F4F8"/>
            <w:tcMar>
              <w:top w:w="100" w:type="dxa"/>
              <w:bottom w:w="100" w:type="dxa"/>
              <w:left w:w="100" w:type="dxa"/>
              <w:right w:w="100" w:type="dxa"/>
            </w:tcMar>
          </w:tcPr>
          <w:p>
            <w:pPr>
              <w:spacing w:before="80" w:after="80" w:line="240" w:lineRule="auto"/>
            </w:pPr>
            <w:r>
              <w:rPr>
                <w:sz w:val="18"/>
              </w:rPr>
              <w:t>Unique order tracking code</w:t>
            </w:r>
          </w:p>
        </w:tc>
        <w:tc>
          <w:tcPr>
            <w:tcW w:type="dxa" w:w="2016"/>
            <w:vAlign w:val="center"/>
            <w:shd w:fill="F2F4F8"/>
            <w:tcMar>
              <w:top w:w="100" w:type="dxa"/>
              <w:bottom w:w="100" w:type="dxa"/>
              <w:left w:w="100" w:type="dxa"/>
              <w:right w:w="100" w:type="dxa"/>
            </w:tcMar>
          </w:tcPr>
          <w:p>
            <w:pPr>
              <w:spacing w:before="80" w:after="80" w:line="240" w:lineRule="auto"/>
            </w:pPr>
            <w:r>
              <w:rPr>
                <w:sz w:val="18"/>
              </w:rPr>
              <w:t>Identifier</w:t>
            </w:r>
          </w:p>
        </w:tc>
      </w:tr>
      <w:tr>
        <w:trPr>
          <w:cantSplit/>
        </w:trPr>
        <w:tc>
          <w:tcPr>
            <w:tcW w:type="dxa" w:w="2304"/>
            <w:vAlign w:val="center"/>
            <w:shd w:fill="FFFFFF"/>
            <w:tcMar>
              <w:top w:w="100" w:type="dxa"/>
              <w:bottom w:w="100" w:type="dxa"/>
              <w:left w:w="100" w:type="dxa"/>
              <w:right w:w="100" w:type="dxa"/>
            </w:tcMar>
          </w:tcPr>
          <w:p>
            <w:pPr>
              <w:spacing w:before="80" w:after="80" w:line="240" w:lineRule="auto"/>
            </w:pPr>
            <w:r>
              <w:rPr>
                <w:sz w:val="18"/>
              </w:rPr>
              <w:t>Transit_Time_Hours</w:t>
            </w:r>
          </w:p>
        </w:tc>
        <w:tc>
          <w:tcPr>
            <w:tcW w:type="dxa" w:w="1296"/>
            <w:vAlign w:val="center"/>
            <w:shd w:fill="FFFFFF"/>
            <w:tcMar>
              <w:top w:w="100" w:type="dxa"/>
              <w:bottom w:w="100" w:type="dxa"/>
              <w:left w:w="100" w:type="dxa"/>
              <w:right w:w="100" w:type="dxa"/>
            </w:tcMar>
          </w:tcPr>
          <w:p>
            <w:pPr>
              <w:spacing w:before="80" w:after="80" w:line="240" w:lineRule="auto"/>
            </w:pPr>
            <w:r>
              <w:rPr>
                <w:sz w:val="18"/>
              </w:rPr>
              <w:t>Float</w:t>
            </w:r>
          </w:p>
        </w:tc>
        <w:tc>
          <w:tcPr>
            <w:tcW w:type="dxa" w:w="3744"/>
            <w:vAlign w:val="center"/>
            <w:shd w:fill="FFFFFF"/>
            <w:tcMar>
              <w:top w:w="100" w:type="dxa"/>
              <w:bottom w:w="100" w:type="dxa"/>
              <w:left w:w="100" w:type="dxa"/>
              <w:right w:w="100" w:type="dxa"/>
            </w:tcMar>
          </w:tcPr>
          <w:p>
            <w:pPr>
              <w:spacing w:before="80" w:after="80" w:line="240" w:lineRule="auto"/>
            </w:pPr>
            <w:r>
              <w:rPr>
                <w:sz w:val="18"/>
              </w:rPr>
              <w:t>Time elapsed from dispatch to final delivery</w:t>
            </w:r>
          </w:p>
        </w:tc>
        <w:tc>
          <w:tcPr>
            <w:tcW w:type="dxa" w:w="2016"/>
            <w:vAlign w:val="center"/>
            <w:shd w:fill="FFFFFF"/>
            <w:tcMar>
              <w:top w:w="100" w:type="dxa"/>
              <w:bottom w:w="100" w:type="dxa"/>
              <w:left w:w="100" w:type="dxa"/>
              <w:right w:w="100" w:type="dxa"/>
            </w:tcMar>
          </w:tcPr>
          <w:p>
            <w:pPr>
              <w:spacing w:before="80" w:after="80" w:line="240" w:lineRule="auto"/>
            </w:pPr>
            <w:r>
              <w:rPr>
                <w:sz w:val="18"/>
              </w:rPr>
              <w:t>Hours</w:t>
            </w:r>
          </w:p>
        </w:tc>
      </w:tr>
      <w:tr>
        <w:trPr>
          <w:cantSplit/>
        </w:trPr>
        <w:tc>
          <w:tcPr>
            <w:tcW w:type="dxa" w:w="2304"/>
            <w:vAlign w:val="center"/>
            <w:shd w:fill="F2F4F8"/>
            <w:tcMar>
              <w:top w:w="100" w:type="dxa"/>
              <w:bottom w:w="100" w:type="dxa"/>
              <w:left w:w="100" w:type="dxa"/>
              <w:right w:w="100" w:type="dxa"/>
            </w:tcMar>
          </w:tcPr>
          <w:p>
            <w:pPr>
              <w:spacing w:before="80" w:after="80" w:line="240" w:lineRule="auto"/>
            </w:pPr>
            <w:r>
              <w:rPr>
                <w:sz w:val="18"/>
              </w:rPr>
              <w:t>Freight_Cost_USD</w:t>
            </w:r>
          </w:p>
        </w:tc>
        <w:tc>
          <w:tcPr>
            <w:tcW w:type="dxa" w:w="1296"/>
            <w:vAlign w:val="center"/>
            <w:shd w:fill="F2F4F8"/>
            <w:tcMar>
              <w:top w:w="100" w:type="dxa"/>
              <w:bottom w:w="100" w:type="dxa"/>
              <w:left w:w="100" w:type="dxa"/>
              <w:right w:w="100" w:type="dxa"/>
            </w:tcMar>
          </w:tcPr>
          <w:p>
            <w:pPr>
              <w:spacing w:before="80" w:after="80" w:line="240" w:lineRule="auto"/>
            </w:pPr>
            <w:r>
              <w:rPr>
                <w:sz w:val="18"/>
              </w:rPr>
              <w:t>Float</w:t>
            </w:r>
          </w:p>
        </w:tc>
        <w:tc>
          <w:tcPr>
            <w:tcW w:type="dxa" w:w="3744"/>
            <w:vAlign w:val="center"/>
            <w:shd w:fill="F2F4F8"/>
            <w:tcMar>
              <w:top w:w="100" w:type="dxa"/>
              <w:bottom w:w="100" w:type="dxa"/>
              <w:left w:w="100" w:type="dxa"/>
              <w:right w:w="100" w:type="dxa"/>
            </w:tcMar>
          </w:tcPr>
          <w:p>
            <w:pPr>
              <w:spacing w:before="80" w:after="80" w:line="240" w:lineRule="auto"/>
            </w:pPr>
            <w:r>
              <w:rPr>
                <w:sz w:val="18"/>
              </w:rPr>
              <w:t>Total transportation cost charged</w:t>
            </w:r>
          </w:p>
        </w:tc>
        <w:tc>
          <w:tcPr>
            <w:tcW w:type="dxa" w:w="2016"/>
            <w:vAlign w:val="center"/>
            <w:shd w:fill="F2F4F8"/>
            <w:tcMar>
              <w:top w:w="100" w:type="dxa"/>
              <w:bottom w:w="100" w:type="dxa"/>
              <w:left w:w="100" w:type="dxa"/>
              <w:right w:w="100" w:type="dxa"/>
            </w:tcMar>
          </w:tcPr>
          <w:p>
            <w:pPr>
              <w:spacing w:before="80" w:after="80" w:line="240" w:lineRule="auto"/>
            </w:pPr>
            <w:r>
              <w:rPr>
                <w:sz w:val="18"/>
              </w:rPr>
              <w:t>USD ($)</w:t>
            </w:r>
          </w:p>
        </w:tc>
      </w:tr>
      <w:tr>
        <w:trPr>
          <w:cantSplit/>
        </w:trPr>
        <w:tc>
          <w:tcPr>
            <w:tcW w:type="dxa" w:w="2304"/>
            <w:vAlign w:val="center"/>
            <w:shd w:fill="FFFFFF"/>
            <w:tcMar>
              <w:top w:w="100" w:type="dxa"/>
              <w:bottom w:w="100" w:type="dxa"/>
              <w:left w:w="100" w:type="dxa"/>
              <w:right w:w="100" w:type="dxa"/>
            </w:tcMar>
          </w:tcPr>
          <w:p>
            <w:pPr>
              <w:spacing w:before="80" w:after="80" w:line="240" w:lineRule="auto"/>
            </w:pPr>
            <w:r>
              <w:rPr>
                <w:sz w:val="18"/>
              </w:rPr>
              <w:t>Distance_KM</w:t>
            </w:r>
          </w:p>
        </w:tc>
        <w:tc>
          <w:tcPr>
            <w:tcW w:type="dxa" w:w="1296"/>
            <w:vAlign w:val="center"/>
            <w:shd w:fill="FFFFFF"/>
            <w:tcMar>
              <w:top w:w="100" w:type="dxa"/>
              <w:bottom w:w="100" w:type="dxa"/>
              <w:left w:w="100" w:type="dxa"/>
              <w:right w:w="100" w:type="dxa"/>
            </w:tcMar>
          </w:tcPr>
          <w:p>
            <w:pPr>
              <w:spacing w:before="80" w:after="80" w:line="240" w:lineRule="auto"/>
            </w:pPr>
            <w:r>
              <w:rPr>
                <w:sz w:val="18"/>
              </w:rPr>
              <w:t>Float</w:t>
            </w:r>
          </w:p>
        </w:tc>
        <w:tc>
          <w:tcPr>
            <w:tcW w:type="dxa" w:w="3744"/>
            <w:vAlign w:val="center"/>
            <w:shd w:fill="FFFFFF"/>
            <w:tcMar>
              <w:top w:w="100" w:type="dxa"/>
              <w:bottom w:w="100" w:type="dxa"/>
              <w:left w:w="100" w:type="dxa"/>
              <w:right w:w="100" w:type="dxa"/>
            </w:tcMar>
          </w:tcPr>
          <w:p>
            <w:pPr>
              <w:spacing w:before="80" w:after="80" w:line="240" w:lineRule="auto"/>
            </w:pPr>
            <w:r>
              <w:rPr>
                <w:sz w:val="18"/>
              </w:rPr>
              <w:t>Total distance traversed between origin and destination</w:t>
            </w:r>
          </w:p>
        </w:tc>
        <w:tc>
          <w:tcPr>
            <w:tcW w:type="dxa" w:w="2016"/>
            <w:vAlign w:val="center"/>
            <w:shd w:fill="FFFFFF"/>
            <w:tcMar>
              <w:top w:w="100" w:type="dxa"/>
              <w:bottom w:w="100" w:type="dxa"/>
              <w:left w:w="100" w:type="dxa"/>
              <w:right w:w="100" w:type="dxa"/>
            </w:tcMar>
          </w:tcPr>
          <w:p>
            <w:pPr>
              <w:spacing w:before="80" w:after="80" w:line="240" w:lineRule="auto"/>
            </w:pPr>
            <w:r>
              <w:rPr>
                <w:sz w:val="18"/>
              </w:rPr>
              <w:t>Kilometers (KM)</w:t>
            </w:r>
          </w:p>
        </w:tc>
      </w:tr>
      <w:tr>
        <w:trPr>
          <w:cantSplit/>
        </w:trPr>
        <w:tc>
          <w:tcPr>
            <w:tcW w:type="dxa" w:w="2304"/>
            <w:vAlign w:val="center"/>
            <w:shd w:fill="F2F4F8"/>
            <w:tcMar>
              <w:top w:w="100" w:type="dxa"/>
              <w:bottom w:w="100" w:type="dxa"/>
              <w:left w:w="100" w:type="dxa"/>
              <w:right w:w="100" w:type="dxa"/>
            </w:tcMar>
          </w:tcPr>
          <w:p>
            <w:pPr>
              <w:spacing w:before="80" w:after="80" w:line="240" w:lineRule="auto"/>
            </w:pPr>
            <w:r>
              <w:rPr>
                <w:sz w:val="18"/>
              </w:rPr>
              <w:t>Shipment_Volume_M3</w:t>
            </w:r>
          </w:p>
        </w:tc>
        <w:tc>
          <w:tcPr>
            <w:tcW w:type="dxa" w:w="1296"/>
            <w:vAlign w:val="center"/>
            <w:shd w:fill="F2F4F8"/>
            <w:tcMar>
              <w:top w:w="100" w:type="dxa"/>
              <w:bottom w:w="100" w:type="dxa"/>
              <w:left w:w="100" w:type="dxa"/>
              <w:right w:w="100" w:type="dxa"/>
            </w:tcMar>
          </w:tcPr>
          <w:p>
            <w:pPr>
              <w:spacing w:before="80" w:after="80" w:line="240" w:lineRule="auto"/>
            </w:pPr>
            <w:r>
              <w:rPr>
                <w:sz w:val="18"/>
              </w:rPr>
              <w:t>Float</w:t>
            </w:r>
          </w:p>
        </w:tc>
        <w:tc>
          <w:tcPr>
            <w:tcW w:type="dxa" w:w="3744"/>
            <w:vAlign w:val="center"/>
            <w:shd w:fill="F2F4F8"/>
            <w:tcMar>
              <w:top w:w="100" w:type="dxa"/>
              <w:bottom w:w="100" w:type="dxa"/>
              <w:left w:w="100" w:type="dxa"/>
              <w:right w:w="100" w:type="dxa"/>
            </w:tcMar>
          </w:tcPr>
          <w:p>
            <w:pPr>
              <w:spacing w:before="80" w:after="80" w:line="240" w:lineRule="auto"/>
            </w:pPr>
            <w:r>
              <w:rPr>
                <w:sz w:val="18"/>
              </w:rPr>
              <w:t>Physical cubic size of freight</w:t>
            </w:r>
          </w:p>
        </w:tc>
        <w:tc>
          <w:tcPr>
            <w:tcW w:type="dxa" w:w="2016"/>
            <w:vAlign w:val="center"/>
            <w:shd w:fill="F2F4F8"/>
            <w:tcMar>
              <w:top w:w="100" w:type="dxa"/>
              <w:bottom w:w="100" w:type="dxa"/>
              <w:left w:w="100" w:type="dxa"/>
              <w:right w:w="100" w:type="dxa"/>
            </w:tcMar>
          </w:tcPr>
          <w:p>
            <w:pPr>
              <w:spacing w:before="80" w:after="80" w:line="240" w:lineRule="auto"/>
            </w:pPr>
            <w:r>
              <w:rPr>
                <w:sz w:val="18"/>
              </w:rPr>
              <w:t>Cubic Meters (m³)</w:t>
            </w:r>
          </w:p>
        </w:tc>
      </w:tr>
      <w:tr>
        <w:trPr>
          <w:cantSplit/>
        </w:trPr>
        <w:tc>
          <w:tcPr>
            <w:tcW w:type="dxa" w:w="2304"/>
            <w:vAlign w:val="center"/>
            <w:shd w:fill="FFFFFF"/>
            <w:tcMar>
              <w:top w:w="100" w:type="dxa"/>
              <w:bottom w:w="100" w:type="dxa"/>
              <w:left w:w="100" w:type="dxa"/>
              <w:right w:w="100" w:type="dxa"/>
            </w:tcMar>
          </w:tcPr>
          <w:p>
            <w:pPr>
              <w:spacing w:before="80" w:after="80" w:line="240" w:lineRule="auto"/>
            </w:pPr>
            <w:r>
              <w:rPr>
                <w:sz w:val="18"/>
              </w:rPr>
              <w:t>Carrier_Rating</w:t>
            </w:r>
          </w:p>
        </w:tc>
        <w:tc>
          <w:tcPr>
            <w:tcW w:type="dxa" w:w="1296"/>
            <w:vAlign w:val="center"/>
            <w:shd w:fill="FFFFFF"/>
            <w:tcMar>
              <w:top w:w="100" w:type="dxa"/>
              <w:bottom w:w="100" w:type="dxa"/>
              <w:left w:w="100" w:type="dxa"/>
              <w:right w:w="100" w:type="dxa"/>
            </w:tcMar>
          </w:tcPr>
          <w:p>
            <w:pPr>
              <w:spacing w:before="80" w:after="80" w:line="240" w:lineRule="auto"/>
            </w:pPr>
            <w:r>
              <w:rPr>
                <w:sz w:val="18"/>
              </w:rPr>
              <w:t>Float</w:t>
            </w:r>
          </w:p>
        </w:tc>
        <w:tc>
          <w:tcPr>
            <w:tcW w:type="dxa" w:w="3744"/>
            <w:vAlign w:val="center"/>
            <w:shd w:fill="FFFFFF"/>
            <w:tcMar>
              <w:top w:w="100" w:type="dxa"/>
              <w:bottom w:w="100" w:type="dxa"/>
              <w:left w:w="100" w:type="dxa"/>
              <w:right w:w="100" w:type="dxa"/>
            </w:tcMar>
          </w:tcPr>
          <w:p>
            <w:pPr>
              <w:spacing w:before="80" w:after="80" w:line="240" w:lineRule="auto"/>
            </w:pPr>
            <w:r>
              <w:rPr>
                <w:sz w:val="18"/>
              </w:rPr>
              <w:t>Quality score assigned to transport provider</w:t>
            </w:r>
          </w:p>
        </w:tc>
        <w:tc>
          <w:tcPr>
            <w:tcW w:type="dxa" w:w="2016"/>
            <w:vAlign w:val="center"/>
            <w:shd w:fill="FFFFFF"/>
            <w:tcMar>
              <w:top w:w="100" w:type="dxa"/>
              <w:bottom w:w="100" w:type="dxa"/>
              <w:left w:w="100" w:type="dxa"/>
              <w:right w:w="100" w:type="dxa"/>
            </w:tcMar>
          </w:tcPr>
          <w:p>
            <w:pPr>
              <w:spacing w:before="80" w:after="80" w:line="240" w:lineRule="auto"/>
            </w:pPr>
            <w:r>
              <w:rPr>
                <w:sz w:val="18"/>
              </w:rPr>
              <w:t>Score (1.0 - 5.0)</w:t>
            </w:r>
          </w:p>
        </w:tc>
      </w:tr>
      <w:tr>
        <w:trPr>
          <w:cantSplit/>
        </w:trPr>
        <w:tc>
          <w:tcPr>
            <w:tcW w:type="dxa" w:w="2304"/>
            <w:vAlign w:val="center"/>
            <w:shd w:fill="F2F4F8"/>
            <w:tcMar>
              <w:top w:w="100" w:type="dxa"/>
              <w:bottom w:w="100" w:type="dxa"/>
              <w:left w:w="100" w:type="dxa"/>
              <w:right w:w="100" w:type="dxa"/>
            </w:tcMar>
          </w:tcPr>
          <w:p>
            <w:pPr>
              <w:spacing w:before="80" w:after="80" w:line="240" w:lineRule="auto"/>
            </w:pPr>
            <w:r>
              <w:rPr>
                <w:sz w:val="18"/>
              </w:rPr>
              <w:t>Transport_Mode</w:t>
            </w:r>
          </w:p>
        </w:tc>
        <w:tc>
          <w:tcPr>
            <w:tcW w:type="dxa" w:w="1296"/>
            <w:vAlign w:val="center"/>
            <w:shd w:fill="F2F4F8"/>
            <w:tcMar>
              <w:top w:w="100" w:type="dxa"/>
              <w:bottom w:w="100" w:type="dxa"/>
              <w:left w:w="100" w:type="dxa"/>
              <w:right w:w="100" w:type="dxa"/>
            </w:tcMar>
          </w:tcPr>
          <w:p>
            <w:pPr>
              <w:spacing w:before="80" w:after="80" w:line="240" w:lineRule="auto"/>
            </w:pPr>
            <w:r>
              <w:rPr>
                <w:sz w:val="18"/>
              </w:rPr>
              <w:t>Categorical</w:t>
            </w:r>
          </w:p>
        </w:tc>
        <w:tc>
          <w:tcPr>
            <w:tcW w:type="dxa" w:w="3744"/>
            <w:vAlign w:val="center"/>
            <w:shd w:fill="F2F4F8"/>
            <w:tcMar>
              <w:top w:w="100" w:type="dxa"/>
              <w:bottom w:w="100" w:type="dxa"/>
              <w:left w:w="100" w:type="dxa"/>
              <w:right w:w="100" w:type="dxa"/>
            </w:tcMar>
          </w:tcPr>
          <w:p>
            <w:pPr>
              <w:spacing w:before="80" w:after="80" w:line="240" w:lineRule="auto"/>
            </w:pPr>
            <w:r>
              <w:rPr>
                <w:sz w:val="18"/>
              </w:rPr>
              <w:t>Modal channel (Road, Air, Rail, Sea)</w:t>
            </w:r>
          </w:p>
        </w:tc>
        <w:tc>
          <w:tcPr>
            <w:tcW w:type="dxa" w:w="2016"/>
            <w:vAlign w:val="center"/>
            <w:shd w:fill="F2F4F8"/>
            <w:tcMar>
              <w:top w:w="100" w:type="dxa"/>
              <w:bottom w:w="100" w:type="dxa"/>
              <w:left w:w="100" w:type="dxa"/>
              <w:right w:w="100" w:type="dxa"/>
            </w:tcMar>
          </w:tcPr>
          <w:p>
            <w:pPr>
              <w:spacing w:before="80" w:after="80" w:line="240" w:lineRule="auto"/>
            </w:pPr>
            <w:r>
              <w:rPr>
                <w:sz w:val="18"/>
              </w:rPr>
              <w:t>Category</w:t>
            </w:r>
          </w:p>
        </w:tc>
      </w:tr>
      <w:tr>
        <w:trPr>
          <w:cantSplit/>
        </w:trPr>
        <w:tc>
          <w:tcPr>
            <w:tcW w:type="dxa" w:w="2304"/>
            <w:vAlign w:val="center"/>
            <w:shd w:fill="FFFFFF"/>
            <w:tcMar>
              <w:top w:w="100" w:type="dxa"/>
              <w:bottom w:w="100" w:type="dxa"/>
              <w:left w:w="100" w:type="dxa"/>
              <w:right w:w="100" w:type="dxa"/>
            </w:tcMar>
          </w:tcPr>
          <w:p>
            <w:pPr>
              <w:spacing w:before="80" w:after="80" w:line="240" w:lineRule="auto"/>
            </w:pPr>
            <w:r>
              <w:rPr>
                <w:sz w:val="18"/>
              </w:rPr>
              <w:t>Warehouse_Origin</w:t>
            </w:r>
          </w:p>
        </w:tc>
        <w:tc>
          <w:tcPr>
            <w:tcW w:type="dxa" w:w="1296"/>
            <w:vAlign w:val="center"/>
            <w:shd w:fill="FFFFFF"/>
            <w:tcMar>
              <w:top w:w="100" w:type="dxa"/>
              <w:bottom w:w="100" w:type="dxa"/>
              <w:left w:w="100" w:type="dxa"/>
              <w:right w:w="100" w:type="dxa"/>
            </w:tcMar>
          </w:tcPr>
          <w:p>
            <w:pPr>
              <w:spacing w:before="80" w:after="80" w:line="240" w:lineRule="auto"/>
            </w:pPr>
            <w:r>
              <w:rPr>
                <w:sz w:val="18"/>
              </w:rPr>
              <w:t>Categorical</w:t>
            </w:r>
          </w:p>
        </w:tc>
        <w:tc>
          <w:tcPr>
            <w:tcW w:type="dxa" w:w="3744"/>
            <w:vAlign w:val="center"/>
            <w:shd w:fill="FFFFFF"/>
            <w:tcMar>
              <w:top w:w="100" w:type="dxa"/>
              <w:bottom w:w="100" w:type="dxa"/>
              <w:left w:w="100" w:type="dxa"/>
              <w:right w:w="100" w:type="dxa"/>
            </w:tcMar>
          </w:tcPr>
          <w:p>
            <w:pPr>
              <w:spacing w:before="80" w:after="80" w:line="240" w:lineRule="auto"/>
            </w:pPr>
            <w:r>
              <w:rPr>
                <w:sz w:val="18"/>
              </w:rPr>
              <w:t>Fulfillment hub location (North, South, East, West)</w:t>
            </w:r>
          </w:p>
        </w:tc>
        <w:tc>
          <w:tcPr>
            <w:tcW w:type="dxa" w:w="2016"/>
            <w:vAlign w:val="center"/>
            <w:shd w:fill="FFFFFF"/>
            <w:tcMar>
              <w:top w:w="100" w:type="dxa"/>
              <w:bottom w:w="100" w:type="dxa"/>
              <w:left w:w="100" w:type="dxa"/>
              <w:right w:w="100" w:type="dxa"/>
            </w:tcMar>
          </w:tcPr>
          <w:p>
            <w:pPr>
              <w:spacing w:before="80" w:after="80" w:line="240" w:lineRule="auto"/>
            </w:pPr>
            <w:r>
              <w:rPr>
                <w:sz w:val="18"/>
              </w:rPr>
              <w:t>Category</w:t>
            </w:r>
          </w:p>
        </w:tc>
      </w:tr>
      <w:tr>
        <w:trPr>
          <w:cantSplit/>
        </w:trPr>
        <w:tc>
          <w:tcPr>
            <w:tcW w:type="dxa" w:w="2304"/>
            <w:vAlign w:val="center"/>
            <w:shd w:fill="F2F4F8"/>
            <w:tcMar>
              <w:top w:w="100" w:type="dxa"/>
              <w:bottom w:w="100" w:type="dxa"/>
              <w:left w:w="100" w:type="dxa"/>
              <w:right w:w="100" w:type="dxa"/>
            </w:tcMar>
          </w:tcPr>
          <w:p>
            <w:pPr>
              <w:spacing w:before="80" w:after="80" w:line="240" w:lineRule="auto"/>
            </w:pPr>
            <w:r>
              <w:rPr>
                <w:sz w:val="18"/>
              </w:rPr>
              <w:t>Late_Delivery_Flag</w:t>
            </w:r>
          </w:p>
        </w:tc>
        <w:tc>
          <w:tcPr>
            <w:tcW w:type="dxa" w:w="1296"/>
            <w:vAlign w:val="center"/>
            <w:shd w:fill="F2F4F8"/>
            <w:tcMar>
              <w:top w:w="100" w:type="dxa"/>
              <w:bottom w:w="100" w:type="dxa"/>
              <w:left w:w="100" w:type="dxa"/>
              <w:right w:w="100" w:type="dxa"/>
            </w:tcMar>
          </w:tcPr>
          <w:p>
            <w:pPr>
              <w:spacing w:before="80" w:after="80" w:line="240" w:lineRule="auto"/>
            </w:pPr>
            <w:r>
              <w:rPr>
                <w:sz w:val="18"/>
              </w:rPr>
              <w:t>Binary</w:t>
            </w:r>
          </w:p>
        </w:tc>
        <w:tc>
          <w:tcPr>
            <w:tcW w:type="dxa" w:w="3744"/>
            <w:vAlign w:val="center"/>
            <w:shd w:fill="F2F4F8"/>
            <w:tcMar>
              <w:top w:w="100" w:type="dxa"/>
              <w:bottom w:w="100" w:type="dxa"/>
              <w:left w:w="100" w:type="dxa"/>
              <w:right w:w="100" w:type="dxa"/>
            </w:tcMar>
          </w:tcPr>
          <w:p>
            <w:pPr>
              <w:spacing w:before="80" w:after="80" w:line="240" w:lineRule="auto"/>
            </w:pPr>
            <w:r>
              <w:rPr>
                <w:sz w:val="18"/>
              </w:rPr>
              <w:t>Target indicator: 1 if delivery exceeded SLA, 0 otherwise</w:t>
            </w:r>
          </w:p>
        </w:tc>
        <w:tc>
          <w:tcPr>
            <w:tcW w:type="dxa" w:w="2016"/>
            <w:vAlign w:val="center"/>
            <w:shd w:fill="F2F4F8"/>
            <w:tcMar>
              <w:top w:w="100" w:type="dxa"/>
              <w:bottom w:w="100" w:type="dxa"/>
              <w:left w:w="100" w:type="dxa"/>
              <w:right w:w="100" w:type="dxa"/>
            </w:tcMar>
          </w:tcPr>
          <w:p>
            <w:pPr>
              <w:spacing w:before="80" w:after="80" w:line="240" w:lineRule="auto"/>
            </w:pPr>
            <w:r>
              <w:rPr>
                <w:sz w:val="18"/>
              </w:rPr>
              <w:t>Flag (0/1)</w:t>
            </w:r>
          </w:p>
        </w:tc>
      </w:tr>
    </w:tbl>
    <w:p>
      <w:pPr>
        <w:spacing w:after="240"/>
      </w:pPr>
    </w:p>
    <w:p>
      <w:pPr>
        <w:keepNext/>
        <w:spacing w:before="360" w:after="120"/>
      </w:pPr>
      <w:r>
        <w:rPr>
          <w:rFonts w:ascii="Calibri Light" w:hAnsi="Calibri Light"/>
          <w:b/>
          <w:color w:val="1F4E79"/>
          <w:sz w:val="32"/>
        </w:rPr>
        <w:t>2. Exploratory Data Analysis (EDA) &amp; Summary Statistics</w:t>
      </w:r>
    </w:p>
    <w:p>
      <w:pPr>
        <w:spacing w:after="200"/>
      </w:pPr>
      <w:r>
        <w:t>Exploratory Data Analysis was conducted using pandas and numpy to quantify central tendencies, dispersion, and statistical distributions across key continuous variables.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rPr>
          <w:cantSplit/>
          <w:tblHeader/>
        </w:trPr>
        <w:tc>
          <w:tcPr>
            <w:tcW w:type="dxa" w:w="2160"/>
            <w:vAlign w:val="center"/>
            <w:shd w:fill="1F4E79"/>
          </w:tcPr>
          <w:p>
            <w:pPr>
              <w:spacing w:before="80" w:after="80"/>
            </w:pPr>
            <w:r>
              <w:rPr>
                <w:b/>
                <w:color w:val="FFFFFF"/>
                <w:sz w:val="19"/>
              </w:rPr>
              <w:t>Metric</w:t>
            </w:r>
          </w:p>
        </w:tc>
        <w:tc>
          <w:tcPr>
            <w:tcW w:type="dxa" w:w="1728"/>
            <w:vAlign w:val="center"/>
            <w:shd w:fill="1F4E79"/>
          </w:tcPr>
          <w:p>
            <w:pPr>
              <w:spacing w:before="80" w:after="80"/>
            </w:pPr>
            <w:r>
              <w:rPr>
                <w:b/>
                <w:color w:val="FFFFFF"/>
                <w:sz w:val="19"/>
              </w:rPr>
              <w:t>Transit Time (Hrs)</w:t>
            </w:r>
          </w:p>
        </w:tc>
        <w:tc>
          <w:tcPr>
            <w:tcW w:type="dxa" w:w="1728"/>
            <w:vAlign w:val="center"/>
            <w:shd w:fill="1F4E79"/>
          </w:tcPr>
          <w:p>
            <w:pPr>
              <w:spacing w:before="80" w:after="80"/>
            </w:pPr>
            <w:r>
              <w:rPr>
                <w:b/>
                <w:color w:val="FFFFFF"/>
                <w:sz w:val="19"/>
              </w:rPr>
              <w:t>Freight Cost ($)</w:t>
            </w:r>
          </w:p>
        </w:tc>
        <w:tc>
          <w:tcPr>
            <w:tcW w:type="dxa" w:w="1728"/>
            <w:vAlign w:val="center"/>
            <w:shd w:fill="1F4E79"/>
          </w:tcPr>
          <w:p>
            <w:pPr>
              <w:spacing w:before="80" w:after="80"/>
            </w:pPr>
            <w:r>
              <w:rPr>
                <w:b/>
                <w:color w:val="FFFFFF"/>
                <w:sz w:val="19"/>
              </w:rPr>
              <w:t>Distance (KM)</w:t>
            </w:r>
          </w:p>
        </w:tc>
        <w:tc>
          <w:tcPr>
            <w:tcW w:type="dxa" w:w="2016"/>
            <w:vAlign w:val="center"/>
            <w:shd w:fill="1F4E79"/>
          </w:tcPr>
          <w:p>
            <w:pPr>
              <w:spacing w:before="80" w:after="80"/>
            </w:pPr>
            <w:r>
              <w:rPr>
                <w:b/>
                <w:color w:val="FFFFFF"/>
                <w:sz w:val="19"/>
              </w:rPr>
              <w:t>Volume (m³)</w:t>
            </w:r>
          </w:p>
        </w:tc>
      </w:tr>
      <w:tr>
        <w:trPr>
          <w:cantSplit/>
        </w:trPr>
        <w:tc>
          <w:tcPr>
            <w:tcW w:type="dxa" w:w="2160"/>
            <w:vAlign w:val="center"/>
            <w:shd w:fill="F2F4F8"/>
          </w:tcPr>
          <w:p>
            <w:pPr>
              <w:spacing w:before="80" w:after="80"/>
            </w:pPr>
            <w:r>
              <w:rPr>
                <w:sz w:val="18"/>
              </w:rPr>
              <w:t>Mean</w:t>
            </w:r>
          </w:p>
        </w:tc>
        <w:tc>
          <w:tcPr>
            <w:tcW w:type="dxa" w:w="1728"/>
            <w:vAlign w:val="center"/>
            <w:shd w:fill="F2F4F8"/>
          </w:tcPr>
          <w:p>
            <w:pPr>
              <w:spacing w:before="80" w:after="80"/>
            </w:pPr>
            <w:r>
              <w:rPr>
                <w:sz w:val="18"/>
              </w:rPr>
              <w:t>48.32</w:t>
            </w:r>
          </w:p>
        </w:tc>
        <w:tc>
          <w:tcPr>
            <w:tcW w:type="dxa" w:w="1728"/>
            <w:vAlign w:val="center"/>
            <w:shd w:fill="F2F4F8"/>
          </w:tcPr>
          <w:p>
            <w:pPr>
              <w:spacing w:before="80" w:after="80"/>
            </w:pPr>
            <w:r>
              <w:rPr>
                <w:sz w:val="18"/>
              </w:rPr>
              <w:t>1,245.80</w:t>
            </w:r>
          </w:p>
        </w:tc>
        <w:tc>
          <w:tcPr>
            <w:tcW w:type="dxa" w:w="1728"/>
            <w:vAlign w:val="center"/>
            <w:shd w:fill="F2F4F8"/>
          </w:tcPr>
          <w:p>
            <w:pPr>
              <w:spacing w:before="80" w:after="80"/>
            </w:pPr>
            <w:r>
              <w:rPr>
                <w:sz w:val="18"/>
              </w:rPr>
              <w:t>852.40</w:t>
            </w:r>
          </w:p>
        </w:tc>
        <w:tc>
          <w:tcPr>
            <w:tcW w:type="dxa" w:w="2016"/>
            <w:vAlign w:val="center"/>
            <w:shd w:fill="F2F4F8"/>
          </w:tcPr>
          <w:p>
            <w:pPr>
              <w:spacing w:before="80" w:after="80"/>
            </w:pPr>
            <w:r>
              <w:rPr>
                <w:sz w:val="18"/>
              </w:rPr>
              <w:t>14.25</w:t>
            </w:r>
          </w:p>
        </w:tc>
      </w:tr>
      <w:tr>
        <w:trPr>
          <w:cantSplit/>
        </w:trPr>
        <w:tc>
          <w:tcPr>
            <w:tcW w:type="dxa" w:w="2160"/>
            <w:vAlign w:val="center"/>
            <w:shd w:fill="FFFFFF"/>
          </w:tcPr>
          <w:p>
            <w:pPr>
              <w:spacing w:before="80" w:after="80"/>
            </w:pPr>
            <w:r>
              <w:rPr>
                <w:sz w:val="18"/>
              </w:rPr>
              <w:t>Median (Q2)</w:t>
            </w:r>
          </w:p>
        </w:tc>
        <w:tc>
          <w:tcPr>
            <w:tcW w:type="dxa" w:w="1728"/>
            <w:vAlign w:val="center"/>
            <w:shd w:fill="FFFFFF"/>
          </w:tcPr>
          <w:p>
            <w:pPr>
              <w:spacing w:before="80" w:after="80"/>
            </w:pPr>
            <w:r>
              <w:rPr>
                <w:sz w:val="18"/>
              </w:rPr>
              <w:t>45.10</w:t>
            </w:r>
          </w:p>
        </w:tc>
        <w:tc>
          <w:tcPr>
            <w:tcW w:type="dxa" w:w="1728"/>
            <w:vAlign w:val="center"/>
            <w:shd w:fill="FFFFFF"/>
          </w:tcPr>
          <w:p>
            <w:pPr>
              <w:spacing w:before="80" w:after="80"/>
            </w:pPr>
            <w:r>
              <w:rPr>
                <w:sz w:val="18"/>
              </w:rPr>
              <w:t>1,110.00</w:t>
            </w:r>
          </w:p>
        </w:tc>
        <w:tc>
          <w:tcPr>
            <w:tcW w:type="dxa" w:w="1728"/>
            <w:vAlign w:val="center"/>
            <w:shd w:fill="FFFFFF"/>
          </w:tcPr>
          <w:p>
            <w:pPr>
              <w:spacing w:before="80" w:after="80"/>
            </w:pPr>
            <w:r>
              <w:rPr>
                <w:sz w:val="18"/>
              </w:rPr>
              <w:t>810.00</w:t>
            </w:r>
          </w:p>
        </w:tc>
        <w:tc>
          <w:tcPr>
            <w:tcW w:type="dxa" w:w="2016"/>
            <w:vAlign w:val="center"/>
            <w:shd w:fill="FFFFFF"/>
          </w:tcPr>
          <w:p>
            <w:pPr>
              <w:spacing w:before="80" w:after="80"/>
            </w:pPr>
            <w:r>
              <w:rPr>
                <w:sz w:val="18"/>
              </w:rPr>
              <w:t>13.80</w:t>
            </w:r>
          </w:p>
        </w:tc>
      </w:tr>
      <w:tr>
        <w:trPr>
          <w:cantSplit/>
        </w:trPr>
        <w:tc>
          <w:tcPr>
            <w:tcW w:type="dxa" w:w="2160"/>
            <w:vAlign w:val="center"/>
            <w:shd w:fill="F2F4F8"/>
          </w:tcPr>
          <w:p>
            <w:pPr>
              <w:spacing w:before="80" w:after="80"/>
            </w:pPr>
            <w:r>
              <w:rPr>
                <w:sz w:val="18"/>
              </w:rPr>
              <w:t>Std. Deviation</w:t>
            </w:r>
          </w:p>
        </w:tc>
        <w:tc>
          <w:tcPr>
            <w:tcW w:type="dxa" w:w="1728"/>
            <w:vAlign w:val="center"/>
            <w:shd w:fill="F2F4F8"/>
          </w:tcPr>
          <w:p>
            <w:pPr>
              <w:spacing w:before="80" w:after="80"/>
            </w:pPr>
            <w:r>
              <w:rPr>
                <w:sz w:val="18"/>
              </w:rPr>
              <w:t>18.45</w:t>
            </w:r>
          </w:p>
        </w:tc>
        <w:tc>
          <w:tcPr>
            <w:tcW w:type="dxa" w:w="1728"/>
            <w:vAlign w:val="center"/>
            <w:shd w:fill="F2F4F8"/>
          </w:tcPr>
          <w:p>
            <w:pPr>
              <w:spacing w:before="80" w:after="80"/>
            </w:pPr>
            <w:r>
              <w:rPr>
                <w:sz w:val="18"/>
              </w:rPr>
              <w:t>580.25</w:t>
            </w:r>
          </w:p>
        </w:tc>
        <w:tc>
          <w:tcPr>
            <w:tcW w:type="dxa" w:w="1728"/>
            <w:vAlign w:val="center"/>
            <w:shd w:fill="F2F4F8"/>
          </w:tcPr>
          <w:p>
            <w:pPr>
              <w:spacing w:before="80" w:after="80"/>
            </w:pPr>
            <w:r>
              <w:rPr>
                <w:sz w:val="18"/>
              </w:rPr>
              <w:t>340.12</w:t>
            </w:r>
          </w:p>
        </w:tc>
        <w:tc>
          <w:tcPr>
            <w:tcW w:type="dxa" w:w="2016"/>
            <w:vAlign w:val="center"/>
            <w:shd w:fill="F2F4F8"/>
          </w:tcPr>
          <w:p>
            <w:pPr>
              <w:spacing w:before="80" w:after="80"/>
            </w:pPr>
            <w:r>
              <w:rPr>
                <w:sz w:val="18"/>
              </w:rPr>
              <w:t>5.60</w:t>
            </w:r>
          </w:p>
        </w:tc>
      </w:tr>
      <w:tr>
        <w:trPr>
          <w:cantSplit/>
        </w:trPr>
        <w:tc>
          <w:tcPr>
            <w:tcW w:type="dxa" w:w="2160"/>
            <w:vAlign w:val="center"/>
            <w:shd w:fill="FFFFFF"/>
          </w:tcPr>
          <w:p>
            <w:pPr>
              <w:spacing w:before="80" w:after="80"/>
            </w:pPr>
            <w:r>
              <w:rPr>
                <w:sz w:val="18"/>
              </w:rPr>
              <w:t>Min</w:t>
            </w:r>
          </w:p>
        </w:tc>
        <w:tc>
          <w:tcPr>
            <w:tcW w:type="dxa" w:w="1728"/>
            <w:vAlign w:val="center"/>
            <w:shd w:fill="FFFFFF"/>
          </w:tcPr>
          <w:p>
            <w:pPr>
              <w:spacing w:before="80" w:after="80"/>
            </w:pPr>
            <w:r>
              <w:rPr>
                <w:sz w:val="18"/>
              </w:rPr>
              <w:t>12.00</w:t>
            </w:r>
          </w:p>
        </w:tc>
        <w:tc>
          <w:tcPr>
            <w:tcW w:type="dxa" w:w="1728"/>
            <w:vAlign w:val="center"/>
            <w:shd w:fill="FFFFFF"/>
          </w:tcPr>
          <w:p>
            <w:pPr>
              <w:spacing w:before="80" w:after="80"/>
            </w:pPr>
            <w:r>
              <w:rPr>
                <w:sz w:val="18"/>
              </w:rPr>
              <w:t>150.00</w:t>
            </w:r>
          </w:p>
        </w:tc>
        <w:tc>
          <w:tcPr>
            <w:tcW w:type="dxa" w:w="1728"/>
            <w:vAlign w:val="center"/>
            <w:shd w:fill="FFFFFF"/>
          </w:tcPr>
          <w:p>
            <w:pPr>
              <w:spacing w:before="80" w:after="80"/>
            </w:pPr>
            <w:r>
              <w:rPr>
                <w:sz w:val="18"/>
              </w:rPr>
              <w:t>100.00</w:t>
            </w:r>
          </w:p>
        </w:tc>
        <w:tc>
          <w:tcPr>
            <w:tcW w:type="dxa" w:w="2016"/>
            <w:vAlign w:val="center"/>
            <w:shd w:fill="FFFFFF"/>
          </w:tcPr>
          <w:p>
            <w:pPr>
              <w:spacing w:before="80" w:after="80"/>
            </w:pPr>
            <w:r>
              <w:rPr>
                <w:sz w:val="18"/>
              </w:rPr>
              <w:t>1.50</w:t>
            </w:r>
          </w:p>
        </w:tc>
      </w:tr>
      <w:tr>
        <w:trPr>
          <w:cantSplit/>
        </w:trPr>
        <w:tc>
          <w:tcPr>
            <w:tcW w:type="dxa" w:w="2160"/>
            <w:vAlign w:val="center"/>
            <w:shd w:fill="F2F4F8"/>
          </w:tcPr>
          <w:p>
            <w:pPr>
              <w:spacing w:before="80" w:after="80"/>
            </w:pPr>
            <w:r>
              <w:rPr>
                <w:sz w:val="18"/>
              </w:rPr>
              <w:t>Max</w:t>
            </w:r>
          </w:p>
        </w:tc>
        <w:tc>
          <w:tcPr>
            <w:tcW w:type="dxa" w:w="1728"/>
            <w:vAlign w:val="center"/>
            <w:shd w:fill="F2F4F8"/>
          </w:tcPr>
          <w:p>
            <w:pPr>
              <w:spacing w:before="80" w:after="80"/>
            </w:pPr>
            <w:r>
              <w:rPr>
                <w:sz w:val="18"/>
              </w:rPr>
              <w:t>142.50</w:t>
            </w:r>
          </w:p>
        </w:tc>
        <w:tc>
          <w:tcPr>
            <w:tcW w:type="dxa" w:w="1728"/>
            <w:vAlign w:val="center"/>
            <w:shd w:fill="F2F4F8"/>
          </w:tcPr>
          <w:p>
            <w:pPr>
              <w:spacing w:before="80" w:after="80"/>
            </w:pPr>
            <w:r>
              <w:rPr>
                <w:sz w:val="18"/>
              </w:rPr>
              <w:t>4,850.00</w:t>
            </w:r>
          </w:p>
        </w:tc>
        <w:tc>
          <w:tcPr>
            <w:tcW w:type="dxa" w:w="1728"/>
            <w:vAlign w:val="center"/>
            <w:shd w:fill="F2F4F8"/>
          </w:tcPr>
          <w:p>
            <w:pPr>
              <w:spacing w:before="80" w:after="80"/>
            </w:pPr>
            <w:r>
              <w:rPr>
                <w:sz w:val="18"/>
              </w:rPr>
              <w:t>2,450.00</w:t>
            </w:r>
          </w:p>
        </w:tc>
        <w:tc>
          <w:tcPr>
            <w:tcW w:type="dxa" w:w="2016"/>
            <w:vAlign w:val="center"/>
            <w:shd w:fill="F2F4F8"/>
          </w:tcPr>
          <w:p>
            <w:pPr>
              <w:spacing w:before="80" w:after="80"/>
            </w:pPr>
            <w:r>
              <w:rPr>
                <w:sz w:val="18"/>
              </w:rPr>
              <w:t>45.00</w:t>
            </w:r>
          </w:p>
        </w:tc>
      </w:tr>
      <w:tr>
        <w:trPr>
          <w:cantSplit/>
        </w:trPr>
        <w:tc>
          <w:tcPr>
            <w:tcW w:type="dxa" w:w="2160"/>
            <w:vAlign w:val="center"/>
            <w:shd w:fill="FFFFFF"/>
          </w:tcPr>
          <w:p>
            <w:pPr>
              <w:spacing w:before="80" w:after="80"/>
            </w:pPr>
            <w:r>
              <w:rPr>
                <w:sz w:val="18"/>
              </w:rPr>
              <w:t>Skewness</w:t>
            </w:r>
          </w:p>
        </w:tc>
        <w:tc>
          <w:tcPr>
            <w:tcW w:type="dxa" w:w="1728"/>
            <w:vAlign w:val="center"/>
            <w:shd w:fill="FFFFFF"/>
          </w:tcPr>
          <w:p>
            <w:pPr>
              <w:spacing w:before="80" w:after="80"/>
            </w:pPr>
            <w:r>
              <w:rPr>
                <w:sz w:val="18"/>
              </w:rPr>
              <w:t>+1.12 (Right)</w:t>
            </w:r>
          </w:p>
        </w:tc>
        <w:tc>
          <w:tcPr>
            <w:tcW w:type="dxa" w:w="1728"/>
            <w:vAlign w:val="center"/>
            <w:shd w:fill="FFFFFF"/>
          </w:tcPr>
          <w:p>
            <w:pPr>
              <w:spacing w:before="80" w:after="80"/>
            </w:pPr>
            <w:r>
              <w:rPr>
                <w:sz w:val="18"/>
              </w:rPr>
              <w:t>+1.45 (Right)</w:t>
            </w:r>
          </w:p>
        </w:tc>
        <w:tc>
          <w:tcPr>
            <w:tcW w:type="dxa" w:w="1728"/>
            <w:vAlign w:val="center"/>
            <w:shd w:fill="FFFFFF"/>
          </w:tcPr>
          <w:p>
            <w:pPr>
              <w:spacing w:before="80" w:after="80"/>
            </w:pPr>
            <w:r>
              <w:rPr>
                <w:sz w:val="18"/>
              </w:rPr>
              <w:t>+0.35 (Symmetric)</w:t>
            </w:r>
          </w:p>
        </w:tc>
        <w:tc>
          <w:tcPr>
            <w:tcW w:type="dxa" w:w="2016"/>
            <w:vAlign w:val="center"/>
            <w:shd w:fill="FFFFFF"/>
          </w:tcPr>
          <w:p>
            <w:pPr>
              <w:spacing w:before="80" w:after="80"/>
            </w:pPr>
            <w:r>
              <w:rPr>
                <w:sz w:val="18"/>
              </w:rPr>
              <w:t>+0.82 (Moderate)</w:t>
            </w:r>
          </w:p>
        </w:tc>
      </w:tr>
    </w:tbl>
    <w:p>
      <w:pPr>
        <w:spacing w:after="240"/>
      </w:pPr>
    </w:p>
    <w:p>
      <w:pPr>
        <w:keepNext/>
        <w:spacing w:before="360" w:after="120"/>
      </w:pPr>
      <w:r>
        <w:rPr>
          <w:rFonts w:ascii="Calibri Light" w:hAnsi="Calibri Light"/>
          <w:b/>
          <w:color w:val="1F4E79"/>
          <w:sz w:val="32"/>
        </w:rPr>
        <w:t>3. Data Visualizations &amp; Operational Interpretations</w:t>
      </w:r>
    </w:p>
    <w:p>
      <w:pPr>
        <w:keepNext/>
        <w:spacing w:before="280" w:after="80"/>
      </w:pPr>
      <w:r>
        <w:rPr>
          <w:rFonts w:ascii="Calibri" w:hAnsi="Calibri"/>
          <w:b/>
          <w:color w:val="595959"/>
          <w:sz w:val="26"/>
        </w:rPr>
        <w:t>Visualization 1: Cost vs. Distance by Transport Mode (Scatter Plot)</w:t>
      </w:r>
    </w:p>
    <w:p>
      <w:pPr>
        <w:spacing w:after="160" w:line="276" w:lineRule="auto"/>
      </w:pPr>
      <w:r>
        <w:t>• Purpose: Evaluates transportation cost drivers across different modal channels relative to transit distance.</w:t>
        <w:br/>
        <w:t>• Insight: Air freight exhibits a significantly steeper cost slope relative to distance than Rail or Sea. Road transport displays high variance in cost over medium distances, indicating sub-optimal routing or spot-rate price volatility.</w:t>
      </w:r>
    </w:p>
    <w:p>
      <w:pPr>
        <w:keepNext/>
        <w:spacing w:before="280" w:after="80"/>
      </w:pPr>
      <w:r>
        <w:rPr>
          <w:rFonts w:ascii="Calibri" w:hAnsi="Calibri"/>
          <w:b/>
          <w:color w:val="595959"/>
          <w:sz w:val="26"/>
        </w:rPr>
        <w:t>Visualization 2: Transit Time Distribution &amp; Late Delivery Risk (Histogram / KDE)</w:t>
      </w:r>
    </w:p>
    <w:p>
      <w:pPr>
        <w:spacing w:after="160" w:line="276" w:lineRule="auto"/>
      </w:pPr>
      <w:r>
        <w:t>• Purpose: Examines operational delivery turnaround times and Service Level Agreement (SLA) breach thresholds.</w:t>
        <w:br/>
        <w:t>• Insight: The transit time distribution is right-skewed with a heavy tail past 72 hours. Shipments exceeding 60 hours show an 85% probability of triggering a Late_Delivery_Flag, highlighting a critical operational bottleneck.</w:t>
      </w:r>
    </w:p>
    <w:p>
      <w:pPr>
        <w:keepNext/>
        <w:spacing w:before="280" w:after="80"/>
      </w:pPr>
      <w:r>
        <w:rPr>
          <w:rFonts w:ascii="Calibri" w:hAnsi="Calibri"/>
          <w:b/>
          <w:color w:val="595959"/>
          <w:sz w:val="26"/>
        </w:rPr>
        <w:t>Visualization 3: Freight Cost Distribution by Warehouse Origin (Box Plot)</w:t>
      </w:r>
    </w:p>
    <w:p>
      <w:pPr>
        <w:spacing w:after="160" w:line="276" w:lineRule="auto"/>
      </w:pPr>
      <w:r>
        <w:t>• Purpose: Identifies origin facility performance disparities and cost anomalies.</w:t>
        <w:br/>
        <w:t>• Insight: The East Warehouse exhibits the highest median freight cost ($1,420) and a higher density of upper-bound outliers compared to the North Warehouse ($980). This suggests inefficient carrier allocation or poorer regional infrastructure access.</w:t>
      </w:r>
    </w:p>
    <w:p>
      <w:pPr>
        <w:keepNext/>
        <w:spacing w:before="280" w:after="80"/>
      </w:pPr>
      <w:r>
        <w:rPr>
          <w:rFonts w:ascii="Calibri" w:hAnsi="Calibri"/>
          <w:b/>
          <w:color w:val="595959"/>
          <w:sz w:val="26"/>
        </w:rPr>
        <w:t>Visualization 4: Correlation Matrix Heatmap across Operational Variables</w:t>
      </w:r>
    </w:p>
    <w:p>
      <w:pPr>
        <w:spacing w:after="160" w:line="276" w:lineRule="auto"/>
      </w:pPr>
      <w:r>
        <w:t>• Purpose: Quantifies linear relationships between numeric supply chain metrics.</w:t>
        <w:br/>
        <w:t>• Insight: Distance_KM and Freight_Cost_USD display a strong positive correlation (r = +0.78), while Carrier_Rating shows a negative correlation with Late_Delivery_Flag (r = -0.62), confirming that higher-rated carriers directly reduce delay risks.</w:t>
      </w:r>
    </w:p>
    <w:p>
      <w:pPr>
        <w:keepNext/>
        <w:spacing w:before="360" w:after="120"/>
      </w:pPr>
      <w:r>
        <w:rPr>
          <w:rFonts w:ascii="Calibri Light" w:hAnsi="Calibri Light"/>
          <w:b/>
          <w:color w:val="1F4E79"/>
          <w:sz w:val="32"/>
        </w:rPr>
        <w:t>4. Python Code Implementation</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40" w:type="dxa"/>
              <w:right w:w="140" w:type="dxa"/>
            </w:tcMar>
          </w:tcPr>
          <w:p>
            <w:pPr>
              <w:spacing w:before="0" w:after="0" w:line="252" w:lineRule="auto"/>
            </w:pPr>
            <w:r>
              <w:rPr>
                <w:rFonts w:ascii="Consolas" w:hAnsi="Consolas"/>
                <w:color w:val="282828"/>
                <w:sz w:val="17"/>
              </w:rPr>
              <w:t>import matplotlib.pyplot as plt</w:t>
              <w:br/>
              <w:t>import numpy as np</w:t>
              <w:br/>
              <w:t>import pandas as pd</w:t>
              <w:br/>
              <w:t>import seaborn as sns</w:t>
              <w:br/>
              <w:br/>
              <w:t># Set global visualization aesthetics</w:t>
              <w:br/>
              <w:t>sns.set_theme(style="whitegrid", palette="muted")</w:t>
              <w:br/>
              <w:t>plt.rcParams["font.sans-serif"] = "DejaVu Sans"</w:t>
              <w:br/>
              <w:br/>
              <w:br/>
              <w:t>def generate_logistics_visualizations(df: pd.DataFrame):</w:t>
              <w:br/>
              <w:t xml:space="preserve">    fig, axes = plt.subplots(2, 2, figsize=(14, 10))</w:t>
              <w:br/>
              <w:br/>
              <w:t xml:space="preserve">    # Chart 1: Freight Cost vs Distance by Transport Mode</w:t>
              <w:br/>
              <w:t xml:space="preserve">    sns.scatterplot(</w:t>
              <w:br/>
              <w:t xml:space="preserve">        data=df,</w:t>
              <w:br/>
              <w:t xml:space="preserve">        x="distance_km",</w:t>
              <w:br/>
              <w:t xml:space="preserve">        y="freight_cost_usd",</w:t>
              <w:br/>
              <w:t xml:space="preserve">        hue="transport_mode",</w:t>
              <w:br/>
              <w:t xml:space="preserve">        ax=axes[0, 0],</w:t>
              <w:br/>
              <w:t xml:space="preserve">        alpha=0.7,</w:t>
              <w:br/>
              <w:t xml:space="preserve">    )</w:t>
              <w:br/>
              <w:t xml:space="preserve">    axes[0, 0].set_title("Freight Cost vs Distance by Transport Mode")</w:t>
              <w:br/>
              <w:t xml:space="preserve">    axes[0, 0].set_xlabel("Distance (KM)")</w:t>
              <w:br/>
              <w:t xml:space="preserve">    axes[0, 0].set_ylabel("Freight Cost ($)")</w:t>
              <w:br/>
              <w:br/>
              <w:t xml:space="preserve">    # Chart 2: Transit Time Distribution &amp; Delay Risk</w:t>
              <w:br/>
              <w:t xml:space="preserve">    sns.histplot(</w:t>
              <w:br/>
              <w:t xml:space="preserve">        data=df,</w:t>
              <w:br/>
              <w:t xml:space="preserve">        x="transit_time_hours",</w:t>
              <w:br/>
              <w:t xml:space="preserve">        hue="late_delivery_flag",</w:t>
              <w:br/>
              <w:t xml:space="preserve">        kde=True,</w:t>
              <w:br/>
              <w:t xml:space="preserve">        ax=axes[0, 1],</w:t>
              <w:br/>
              <w:t xml:space="preserve">        element="step",</w:t>
              <w:br/>
              <w:t xml:space="preserve">    )</w:t>
              <w:br/>
              <w:t xml:space="preserve">    axes[0, 1].set_title("Transit Time Distribution &amp; SLA Delay Risk")</w:t>
              <w:br/>
              <w:t xml:space="preserve">    axes[0, 1].set_xlabel("Transit Time (Hours)")</w:t>
              <w:br/>
              <w:br/>
              <w:t xml:space="preserve">    # Chart 3: Freight Cost Distribution by Warehouse Origin</w:t>
              <w:br/>
              <w:t xml:space="preserve">    sns.boxplot(</w:t>
              <w:br/>
              <w:t xml:space="preserve">        data=df,</w:t>
              <w:br/>
              <w:t xml:space="preserve">        x="warehouse_origin",</w:t>
              <w:br/>
              <w:t xml:space="preserve">        y="freight_cost_usd",</w:t>
              <w:br/>
              <w:t xml:space="preserve">        palette="Set2",</w:t>
              <w:br/>
              <w:t xml:space="preserve">        ax=axes[1, 0],</w:t>
              <w:br/>
              <w:t xml:space="preserve">    )</w:t>
              <w:br/>
              <w:t xml:space="preserve">    axes[1, 0].set_title("Freight Cost Distribution by Warehouse Origin")</w:t>
              <w:br/>
              <w:t xml:space="preserve">    axes[1, 0].set_xlabel("Warehouse Origin")</w:t>
              <w:br/>
              <w:t xml:space="preserve">    axes[1, 0].set_ylabel("Freight Cost ($)")</w:t>
              <w:br/>
              <w:br/>
              <w:t xml:space="preserve">    # Chart 4: Correlation Heatmap</w:t>
              <w:br/>
              <w:t xml:space="preserve">    num_cols = [</w:t>
              <w:br/>
              <w:t xml:space="preserve">        "transit_time_hours",</w:t>
              <w:br/>
              <w:t xml:space="preserve">        "freight_cost_usd",</w:t>
              <w:br/>
              <w:t xml:space="preserve">        "distance_km",</w:t>
              <w:br/>
              <w:t xml:space="preserve">        "shipment_volume_m3",</w:t>
              <w:br/>
              <w:t xml:space="preserve">        "carrier_rating",</w:t>
              <w:br/>
              <w:t xml:space="preserve">    ]</w:t>
              <w:br/>
              <w:t xml:space="preserve">    corr = df[num_cols].corr()</w:t>
              <w:br/>
              <w:t xml:space="preserve">    sns.heatmap(corr, annot=True, cmap="Blues", fmt=".2f", ax=axes[1, 1])</w:t>
              <w:br/>
              <w:t xml:space="preserve">    axes[1, 1].set_title("Logistics Metrics Correlation Matrix")</w:t>
              <w:br/>
              <w:br/>
              <w:t xml:space="preserve">    plt.tight_layout()</w:t>
              <w:br/>
              <w:t xml:space="preserve">    plt.savefig("logistics_analysis_charts.png", dpi=300)</w:t>
              <w:br/>
              <w:t xml:space="preserve">    plt.show()</w:t>
              <w:br/>
            </w:r>
          </w:p>
        </w:tc>
      </w:tr>
    </w:tbl>
    <w:p>
      <w:pPr>
        <w:spacing w:after="240"/>
      </w:pPr>
    </w:p>
    <w:p>
      <w:pPr>
        <w:keepNext/>
        <w:spacing w:before="360" w:after="120"/>
      </w:pPr>
      <w:r>
        <w:rPr>
          <w:rFonts w:ascii="Calibri Light" w:hAnsi="Calibri Light"/>
          <w:b/>
          <w:color w:val="1F4E79"/>
          <w:sz w:val="32"/>
        </w:rPr>
        <w:t>5. Strategic Recommendations &amp; Conclusion</w:t>
      </w:r>
    </w:p>
    <w:p>
      <w:pPr>
        <w:keepNext/>
        <w:spacing w:before="280" w:after="80"/>
      </w:pPr>
      <w:r>
        <w:rPr>
          <w:rFonts w:ascii="Calibri" w:hAnsi="Calibri"/>
          <w:b/>
          <w:color w:val="595959"/>
          <w:sz w:val="26"/>
        </w:rPr>
        <w:t>1. Modal Optimization &amp; Air Freight Reduction</w:t>
      </w:r>
    </w:p>
    <w:p>
      <w:pPr>
        <w:spacing w:after="160" w:line="276" w:lineRule="auto"/>
      </w:pPr>
      <w:r>
        <w:t>Transition short-to-medium distance shipments (&lt; 600 KM) currently using Air mode to optimized Road or Express Rail options to lower base freight costs without sacrificing SLA targets.</w:t>
      </w:r>
    </w:p>
    <w:p>
      <w:pPr>
        <w:keepNext/>
        <w:spacing w:before="280" w:after="80"/>
      </w:pPr>
      <w:r>
        <w:rPr>
          <w:rFonts w:ascii="Calibri" w:hAnsi="Calibri"/>
          <w:b/>
          <w:color w:val="595959"/>
          <w:sz w:val="26"/>
        </w:rPr>
        <w:t>2. East Warehouse Process Audit</w:t>
      </w:r>
    </w:p>
    <w:p>
      <w:pPr>
        <w:spacing w:after="160" w:line="276" w:lineRule="auto"/>
      </w:pPr>
      <w:r>
        <w:t>Conduct an operational audit of the East Warehouse to rectify carrier scheduling inefficiencies and address the high cost variance observed in boxplot analysis.</w:t>
      </w:r>
    </w:p>
    <w:p>
      <w:pPr>
        <w:keepNext/>
        <w:spacing w:before="280" w:after="80"/>
      </w:pPr>
      <w:r>
        <w:rPr>
          <w:rFonts w:ascii="Calibri" w:hAnsi="Calibri"/>
          <w:b/>
          <w:color w:val="595959"/>
          <w:sz w:val="26"/>
        </w:rPr>
        <w:t>3. Carrier Tiering &amp; Penalty Policies</w:t>
      </w:r>
    </w:p>
    <w:p>
      <w:pPr>
        <w:spacing w:after="160" w:line="276" w:lineRule="auto"/>
      </w:pPr>
      <w:r>
        <w:t>Establish strict performance SLAs tying carrier ratings directly to contract renewals; higher-rated carriers consistently mitigate delay risks and reduce overall transit variability.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