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46CC0">
      <w:pPr>
        <w:spacing w:after="80"/>
      </w:pPr>
      <w:r>
        <w:rPr>
          <w:rFonts w:ascii="Calibri Light" w:hAnsi="Calibri Light"/>
          <w:b/>
          <w:color w:val="1F4E79"/>
          <w:sz w:val="48"/>
        </w:rPr>
        <w:t>Data Preprocessing &amp; Pipeline Report:</w:t>
      </w:r>
      <w:r>
        <w:rPr>
          <w:rFonts w:ascii="Calibri Light" w:hAnsi="Calibri Light"/>
          <w:b/>
          <w:color w:val="1F4E79"/>
          <w:sz w:val="48"/>
        </w:rPr>
        <w:br w:type="textWrapping"/>
      </w:r>
      <w:r>
        <w:rPr>
          <w:rFonts w:ascii="Calibri Light" w:hAnsi="Calibri Light"/>
          <w:b/>
          <w:color w:val="1F4E79"/>
          <w:sz w:val="48"/>
        </w:rPr>
        <w:t>Logistics Supply Chain Dataset</w:t>
      </w:r>
    </w:p>
    <w:p w14:paraId="057CEABA">
      <w:pPr>
        <w:spacing w:after="360"/>
      </w:pPr>
      <w:r>
        <w:rPr>
          <w:i/>
          <w:color w:val="595959"/>
          <w:sz w:val="20"/>
        </w:rPr>
        <w:t>Task: Week 2 – Data Collection, Cleaning, and Preprocessing</w:t>
      </w:r>
      <w:r>
        <w:rPr>
          <w:rFonts w:hint="default"/>
          <w:i/>
          <w:color w:val="595959"/>
          <w:sz w:val="20"/>
          <w:lang w:val="en-IN"/>
        </w:rPr>
        <w:t xml:space="preserve"> </w:t>
      </w:r>
      <w:bookmarkStart w:id="0" w:name="_GoBack"/>
      <w:bookmarkEnd w:id="0"/>
      <w:r>
        <w:rPr>
          <w:i/>
          <w:color w:val="595959"/>
          <w:sz w:val="20"/>
        </w:rPr>
        <w:t>for Logistics Analysis</w:t>
      </w:r>
    </w:p>
    <w:p w14:paraId="2445A768">
      <w:pPr>
        <w:pBdr>
          <w:bottom w:val="single" w:color="1F4E79" w:sz="12" w:space="1"/>
        </w:pBdr>
        <w:spacing w:after="360"/>
      </w:pPr>
    </w:p>
    <w:p w14:paraId="1F33FF59">
      <w:pPr>
        <w:keepNext/>
        <w:spacing w:before="360" w:after="120"/>
      </w:pPr>
      <w:r>
        <w:rPr>
          <w:rFonts w:ascii="Calibri Light" w:hAnsi="Calibri Light"/>
          <w:b/>
          <w:color w:val="1F4E79"/>
          <w:sz w:val="32"/>
        </w:rPr>
        <w:t>1. Data Collection Simulation &amp; Dataset Overview</w:t>
      </w:r>
    </w:p>
    <w:p w14:paraId="28D7C683">
      <w:r>
        <w:t>For this task, I simulated a real-world logistics data pipeline using a benchmark dataset based on international shipment operations (modeled after the publicly available DataCo Smart Supply Chain Dataset). The dataset captures transactional logistics details across global supply chains, including order fulfillment, shipment delays, shipping modes, transit distances, and freight costs.</w:t>
      </w:r>
    </w:p>
    <w:p w14:paraId="78E74682">
      <w:pPr>
        <w:keepNext/>
        <w:spacing w:before="280" w:after="80"/>
      </w:pPr>
      <w:r>
        <w:rPr>
          <w:b/>
          <w:color w:val="595959"/>
          <w:sz w:val="26"/>
        </w:rPr>
        <w:t>Dataset Profile &amp; Characteristics</w:t>
      </w:r>
    </w:p>
    <w:p w14:paraId="5B88EEE6">
      <w:pPr>
        <w:pStyle w:val="23"/>
        <w:spacing w:after="60"/>
      </w:pPr>
      <w:r>
        <w:rPr>
          <w:b/>
        </w:rPr>
        <w:t xml:space="preserve">Total Records: </w:t>
      </w:r>
      <w:r>
        <w:t>10,000 raw shipment rows</w:t>
      </w:r>
    </w:p>
    <w:p w14:paraId="2F41C931">
      <w:pPr>
        <w:pStyle w:val="23"/>
        <w:spacing w:after="60"/>
      </w:pPr>
      <w:r>
        <w:rPr>
          <w:b/>
        </w:rPr>
        <w:t xml:space="preserve">Total Features: </w:t>
      </w:r>
      <w:r>
        <w:t>10 variables (Categorical, Numerical, Datetime)</w:t>
      </w:r>
    </w:p>
    <w:p w14:paraId="09D03C43">
      <w:pPr>
        <w:pStyle w:val="23"/>
        <w:spacing w:after="240"/>
      </w:pPr>
      <w:r>
        <w:rPr>
          <w:b/>
        </w:rPr>
        <w:t xml:space="preserve">Target Objective: </w:t>
      </w:r>
      <w:r>
        <w:t>Prepare clean, normalized data to predict shipment delay risks and optimize freight costs.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113"/>
        <w:gridCol w:w="1395"/>
        <w:gridCol w:w="2948"/>
        <w:gridCol w:w="3104"/>
      </w:tblGrid>
      <w:tr w14:paraId="58AC94D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120" w:type="dxa"/>
              <w:left w:w="100" w:type="dxa"/>
              <w:bottom w:w="120" w:type="dxa"/>
              <w:right w:w="100" w:type="dxa"/>
            </w:tcMar>
            <w:vAlign w:val="center"/>
          </w:tcPr>
          <w:p w14:paraId="14A4998E">
            <w:pPr>
              <w:spacing w:before="80" w:after="80" w:line="240" w:lineRule="auto"/>
            </w:pPr>
            <w:r>
              <w:rPr>
                <w:b/>
                <w:color w:val="FFFFFF"/>
                <w:sz w:val="19"/>
              </w:rPr>
              <w:t>Feature Name</w:t>
            </w:r>
          </w:p>
        </w:tc>
        <w:tc>
          <w:tcPr>
            <w:tcW w:w="1440" w:type="dxa"/>
            <w:shd w:val="clear" w:color="auto" w:fill="1F4E79"/>
            <w:tcMar>
              <w:top w:w="120" w:type="dxa"/>
              <w:left w:w="100" w:type="dxa"/>
              <w:bottom w:w="120" w:type="dxa"/>
              <w:right w:w="100" w:type="dxa"/>
            </w:tcMar>
            <w:vAlign w:val="center"/>
          </w:tcPr>
          <w:p w14:paraId="09A38D71">
            <w:pPr>
              <w:spacing w:before="80" w:after="80" w:line="240" w:lineRule="auto"/>
            </w:pPr>
            <w:r>
              <w:rPr>
                <w:b/>
                <w:color w:val="FFFFFF"/>
                <w:sz w:val="19"/>
              </w:rPr>
              <w:t>Data Type</w:t>
            </w:r>
          </w:p>
        </w:tc>
        <w:tc>
          <w:tcPr>
            <w:tcW w:w="3168" w:type="dxa"/>
            <w:shd w:val="clear" w:color="auto" w:fill="1F4E79"/>
            <w:tcMar>
              <w:top w:w="120" w:type="dxa"/>
              <w:left w:w="100" w:type="dxa"/>
              <w:bottom w:w="120" w:type="dxa"/>
              <w:right w:w="100" w:type="dxa"/>
            </w:tcMar>
            <w:vAlign w:val="center"/>
          </w:tcPr>
          <w:p w14:paraId="6275EC02">
            <w:pPr>
              <w:spacing w:before="80" w:after="80" w:line="240" w:lineRule="auto"/>
            </w:pPr>
            <w:r>
              <w:rPr>
                <w:b/>
                <w:color w:val="FFFFFF"/>
                <w:sz w:val="19"/>
              </w:rPr>
              <w:t>Description</w:t>
            </w:r>
          </w:p>
        </w:tc>
        <w:tc>
          <w:tcPr>
            <w:tcW w:w="3312" w:type="dxa"/>
            <w:shd w:val="clear" w:color="auto" w:fill="1F4E79"/>
            <w:tcMar>
              <w:top w:w="120" w:type="dxa"/>
              <w:left w:w="100" w:type="dxa"/>
              <w:bottom w:w="120" w:type="dxa"/>
              <w:right w:w="100" w:type="dxa"/>
            </w:tcMar>
            <w:vAlign w:val="center"/>
          </w:tcPr>
          <w:p w14:paraId="60EBFF43">
            <w:pPr>
              <w:spacing w:before="80" w:after="80" w:line="240" w:lineRule="auto"/>
            </w:pPr>
            <w:r>
              <w:rPr>
                <w:b/>
                <w:color w:val="FFFFFF"/>
                <w:sz w:val="19"/>
              </w:rPr>
              <w:t>Initial Quality Issue Identified</w:t>
            </w:r>
          </w:p>
        </w:tc>
      </w:tr>
      <w:tr w14:paraId="1E9BBD5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8"/>
            <w:tcMar>
              <w:top w:w="100" w:type="dxa"/>
              <w:left w:w="100" w:type="dxa"/>
              <w:bottom w:w="100" w:type="dxa"/>
              <w:right w:w="100" w:type="dxa"/>
            </w:tcMar>
            <w:vAlign w:val="center"/>
          </w:tcPr>
          <w:p w14:paraId="6FD5E9D8">
            <w:pPr>
              <w:spacing w:before="80" w:after="80" w:line="240" w:lineRule="auto"/>
            </w:pPr>
            <w:r>
              <w:rPr>
                <w:sz w:val="18"/>
              </w:rPr>
              <w:t>Shipment_ID</w:t>
            </w:r>
          </w:p>
        </w:tc>
        <w:tc>
          <w:tcPr>
            <w:tcW w:w="1440" w:type="dxa"/>
            <w:shd w:val="clear" w:color="auto" w:fill="F2F4F8"/>
            <w:tcMar>
              <w:top w:w="100" w:type="dxa"/>
              <w:left w:w="100" w:type="dxa"/>
              <w:bottom w:w="100" w:type="dxa"/>
              <w:right w:w="100" w:type="dxa"/>
            </w:tcMar>
            <w:vAlign w:val="center"/>
          </w:tcPr>
          <w:p w14:paraId="7C78EE17">
            <w:pPr>
              <w:spacing w:before="80" w:after="80" w:line="240" w:lineRule="auto"/>
            </w:pPr>
            <w:r>
              <w:rPr>
                <w:sz w:val="18"/>
              </w:rPr>
              <w:t>String</w:t>
            </w:r>
          </w:p>
        </w:tc>
        <w:tc>
          <w:tcPr>
            <w:tcW w:w="3168" w:type="dxa"/>
            <w:shd w:val="clear" w:color="auto" w:fill="F2F4F8"/>
            <w:tcMar>
              <w:top w:w="100" w:type="dxa"/>
              <w:left w:w="100" w:type="dxa"/>
              <w:bottom w:w="100" w:type="dxa"/>
              <w:right w:w="100" w:type="dxa"/>
            </w:tcMar>
            <w:vAlign w:val="center"/>
          </w:tcPr>
          <w:p w14:paraId="4652D47A">
            <w:pPr>
              <w:spacing w:before="80" w:after="80" w:line="240" w:lineRule="auto"/>
            </w:pPr>
            <w:r>
              <w:rPr>
                <w:sz w:val="18"/>
              </w:rPr>
              <w:t>Unique tracking identifier</w:t>
            </w:r>
          </w:p>
        </w:tc>
        <w:tc>
          <w:tcPr>
            <w:tcW w:w="3312" w:type="dxa"/>
            <w:shd w:val="clear" w:color="auto" w:fill="F2F4F8"/>
            <w:tcMar>
              <w:top w:w="100" w:type="dxa"/>
              <w:left w:w="100" w:type="dxa"/>
              <w:bottom w:w="100" w:type="dxa"/>
              <w:right w:w="100" w:type="dxa"/>
            </w:tcMar>
            <w:vAlign w:val="center"/>
          </w:tcPr>
          <w:p w14:paraId="72AE2A5A">
            <w:pPr>
              <w:spacing w:before="80" w:after="80" w:line="240" w:lineRule="auto"/>
            </w:pPr>
            <w:r>
              <w:rPr>
                <w:sz w:val="18"/>
              </w:rPr>
              <w:t>Duplicate entries present</w:t>
            </w:r>
          </w:p>
        </w:tc>
      </w:tr>
      <w:tr w14:paraId="56EEC9A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00" w:type="dxa"/>
              <w:left w:w="100" w:type="dxa"/>
              <w:bottom w:w="100" w:type="dxa"/>
              <w:right w:w="100" w:type="dxa"/>
            </w:tcMar>
            <w:vAlign w:val="center"/>
          </w:tcPr>
          <w:p w14:paraId="57BAF217">
            <w:pPr>
              <w:spacing w:before="80" w:after="80" w:line="240" w:lineRule="auto"/>
            </w:pPr>
            <w:r>
              <w:rPr>
                <w:sz w:val="18"/>
              </w:rPr>
              <w:t>Order_Date</w:t>
            </w:r>
          </w:p>
        </w:tc>
        <w:tc>
          <w:tcPr>
            <w:tcW w:w="1440" w:type="dxa"/>
            <w:shd w:val="clear" w:color="auto" w:fill="FFFFFF"/>
            <w:tcMar>
              <w:top w:w="100" w:type="dxa"/>
              <w:left w:w="100" w:type="dxa"/>
              <w:bottom w:w="100" w:type="dxa"/>
              <w:right w:w="100" w:type="dxa"/>
            </w:tcMar>
            <w:vAlign w:val="center"/>
          </w:tcPr>
          <w:p w14:paraId="39E64D7F">
            <w:pPr>
              <w:spacing w:before="80" w:after="80" w:line="240" w:lineRule="auto"/>
            </w:pPr>
            <w:r>
              <w:rPr>
                <w:sz w:val="18"/>
              </w:rPr>
              <w:t>Object</w:t>
            </w:r>
          </w:p>
        </w:tc>
        <w:tc>
          <w:tcPr>
            <w:tcW w:w="3168" w:type="dxa"/>
            <w:shd w:val="clear" w:color="auto" w:fill="FFFFFF"/>
            <w:tcMar>
              <w:top w:w="100" w:type="dxa"/>
              <w:left w:w="100" w:type="dxa"/>
              <w:bottom w:w="100" w:type="dxa"/>
              <w:right w:w="100" w:type="dxa"/>
            </w:tcMar>
            <w:vAlign w:val="center"/>
          </w:tcPr>
          <w:p w14:paraId="5337E59D">
            <w:pPr>
              <w:spacing w:before="80" w:after="80" w:line="240" w:lineRule="auto"/>
            </w:pPr>
            <w:r>
              <w:rPr>
                <w:sz w:val="18"/>
              </w:rPr>
              <w:t>Timestamp of order placement</w:t>
            </w:r>
          </w:p>
        </w:tc>
        <w:tc>
          <w:tcPr>
            <w:tcW w:w="3312" w:type="dxa"/>
            <w:shd w:val="clear" w:color="auto" w:fill="FFFFFF"/>
            <w:tcMar>
              <w:top w:w="100" w:type="dxa"/>
              <w:left w:w="100" w:type="dxa"/>
              <w:bottom w:w="100" w:type="dxa"/>
              <w:right w:w="100" w:type="dxa"/>
            </w:tcMar>
            <w:vAlign w:val="center"/>
          </w:tcPr>
          <w:p w14:paraId="2270A821">
            <w:pPr>
              <w:spacing w:before="80" w:after="80" w:line="240" w:lineRule="auto"/>
            </w:pPr>
            <w:r>
              <w:rPr>
                <w:sz w:val="18"/>
              </w:rPr>
              <w:t>Inconsistent string formats</w:t>
            </w:r>
          </w:p>
        </w:tc>
      </w:tr>
      <w:tr w14:paraId="13CA34F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8"/>
            <w:tcMar>
              <w:top w:w="100" w:type="dxa"/>
              <w:left w:w="100" w:type="dxa"/>
              <w:bottom w:w="100" w:type="dxa"/>
              <w:right w:w="100" w:type="dxa"/>
            </w:tcMar>
            <w:vAlign w:val="center"/>
          </w:tcPr>
          <w:p w14:paraId="21BA4F47">
            <w:pPr>
              <w:spacing w:before="80" w:after="80" w:line="240" w:lineRule="auto"/>
            </w:pPr>
            <w:r>
              <w:rPr>
                <w:sz w:val="18"/>
              </w:rPr>
              <w:t>Delivery_Date</w:t>
            </w:r>
          </w:p>
        </w:tc>
        <w:tc>
          <w:tcPr>
            <w:tcW w:w="1440" w:type="dxa"/>
            <w:shd w:val="clear" w:color="auto" w:fill="F2F4F8"/>
            <w:tcMar>
              <w:top w:w="100" w:type="dxa"/>
              <w:left w:w="100" w:type="dxa"/>
              <w:bottom w:w="100" w:type="dxa"/>
              <w:right w:w="100" w:type="dxa"/>
            </w:tcMar>
            <w:vAlign w:val="center"/>
          </w:tcPr>
          <w:p w14:paraId="03802133">
            <w:pPr>
              <w:spacing w:before="80" w:after="80" w:line="240" w:lineRule="auto"/>
            </w:pPr>
            <w:r>
              <w:rPr>
                <w:sz w:val="18"/>
              </w:rPr>
              <w:t>Object</w:t>
            </w:r>
          </w:p>
        </w:tc>
        <w:tc>
          <w:tcPr>
            <w:tcW w:w="3168" w:type="dxa"/>
            <w:shd w:val="clear" w:color="auto" w:fill="F2F4F8"/>
            <w:tcMar>
              <w:top w:w="100" w:type="dxa"/>
              <w:left w:w="100" w:type="dxa"/>
              <w:bottom w:w="100" w:type="dxa"/>
              <w:right w:w="100" w:type="dxa"/>
            </w:tcMar>
            <w:vAlign w:val="center"/>
          </w:tcPr>
          <w:p w14:paraId="6586632A">
            <w:pPr>
              <w:spacing w:before="80" w:after="80" w:line="240" w:lineRule="auto"/>
            </w:pPr>
            <w:r>
              <w:rPr>
                <w:sz w:val="18"/>
              </w:rPr>
              <w:t>Timestamp of final delivery</w:t>
            </w:r>
          </w:p>
        </w:tc>
        <w:tc>
          <w:tcPr>
            <w:tcW w:w="3312" w:type="dxa"/>
            <w:shd w:val="clear" w:color="auto" w:fill="F2F4F8"/>
            <w:tcMar>
              <w:top w:w="100" w:type="dxa"/>
              <w:left w:w="100" w:type="dxa"/>
              <w:bottom w:w="100" w:type="dxa"/>
              <w:right w:w="100" w:type="dxa"/>
            </w:tcMar>
            <w:vAlign w:val="center"/>
          </w:tcPr>
          <w:p w14:paraId="6F972097">
            <w:pPr>
              <w:spacing w:before="80" w:after="80" w:line="240" w:lineRule="auto"/>
            </w:pPr>
            <w:r>
              <w:rPr>
                <w:sz w:val="18"/>
              </w:rPr>
              <w:t>Missing values (nulls)</w:t>
            </w:r>
          </w:p>
        </w:tc>
      </w:tr>
      <w:tr w14:paraId="4384CEB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00" w:type="dxa"/>
              <w:left w:w="100" w:type="dxa"/>
              <w:bottom w:w="100" w:type="dxa"/>
              <w:right w:w="100" w:type="dxa"/>
            </w:tcMar>
            <w:vAlign w:val="center"/>
          </w:tcPr>
          <w:p w14:paraId="4F5FE317">
            <w:pPr>
              <w:spacing w:before="80" w:after="80" w:line="240" w:lineRule="auto"/>
            </w:pPr>
            <w:r>
              <w:rPr>
                <w:sz w:val="18"/>
              </w:rPr>
              <w:t>Shipping_Mode</w:t>
            </w:r>
          </w:p>
        </w:tc>
        <w:tc>
          <w:tcPr>
            <w:tcW w:w="1440" w:type="dxa"/>
            <w:shd w:val="clear" w:color="auto" w:fill="FFFFFF"/>
            <w:tcMar>
              <w:top w:w="100" w:type="dxa"/>
              <w:left w:w="100" w:type="dxa"/>
              <w:bottom w:w="100" w:type="dxa"/>
              <w:right w:w="100" w:type="dxa"/>
            </w:tcMar>
            <w:vAlign w:val="center"/>
          </w:tcPr>
          <w:p w14:paraId="2C97DBFF">
            <w:pPr>
              <w:spacing w:before="80" w:after="80" w:line="240" w:lineRule="auto"/>
            </w:pPr>
            <w:r>
              <w:rPr>
                <w:sz w:val="18"/>
              </w:rPr>
              <w:t>Categorical</w:t>
            </w:r>
          </w:p>
        </w:tc>
        <w:tc>
          <w:tcPr>
            <w:tcW w:w="3168" w:type="dxa"/>
            <w:shd w:val="clear" w:color="auto" w:fill="FFFFFF"/>
            <w:tcMar>
              <w:top w:w="100" w:type="dxa"/>
              <w:left w:w="100" w:type="dxa"/>
              <w:bottom w:w="100" w:type="dxa"/>
              <w:right w:w="100" w:type="dxa"/>
            </w:tcMar>
            <w:vAlign w:val="center"/>
          </w:tcPr>
          <w:p w14:paraId="58DF9C07">
            <w:pPr>
              <w:spacing w:before="80" w:after="80" w:line="240" w:lineRule="auto"/>
            </w:pPr>
            <w:r>
              <w:rPr>
                <w:sz w:val="18"/>
              </w:rPr>
              <w:t>Standard, Express, Same Day, First Class</w:t>
            </w:r>
          </w:p>
        </w:tc>
        <w:tc>
          <w:tcPr>
            <w:tcW w:w="3312" w:type="dxa"/>
            <w:shd w:val="clear" w:color="auto" w:fill="FFFFFF"/>
            <w:tcMar>
              <w:top w:w="100" w:type="dxa"/>
              <w:left w:w="100" w:type="dxa"/>
              <w:bottom w:w="100" w:type="dxa"/>
              <w:right w:w="100" w:type="dxa"/>
            </w:tcMar>
            <w:vAlign w:val="center"/>
          </w:tcPr>
          <w:p w14:paraId="1571A2F2">
            <w:pPr>
              <w:spacing w:before="80" w:after="80" w:line="240" w:lineRule="auto"/>
            </w:pPr>
            <w:r>
              <w:rPr>
                <w:sz w:val="18"/>
              </w:rPr>
              <w:t>Unstandardized text casing</w:t>
            </w:r>
          </w:p>
        </w:tc>
      </w:tr>
      <w:tr w14:paraId="70ADD5F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8"/>
            <w:tcMar>
              <w:top w:w="100" w:type="dxa"/>
              <w:left w:w="100" w:type="dxa"/>
              <w:bottom w:w="100" w:type="dxa"/>
              <w:right w:w="100" w:type="dxa"/>
            </w:tcMar>
            <w:vAlign w:val="center"/>
          </w:tcPr>
          <w:p w14:paraId="58FA3FA8">
            <w:pPr>
              <w:spacing w:before="80" w:after="80" w:line="240" w:lineRule="auto"/>
            </w:pPr>
            <w:r>
              <w:rPr>
                <w:sz w:val="18"/>
              </w:rPr>
              <w:t>Distance_KM</w:t>
            </w:r>
          </w:p>
        </w:tc>
        <w:tc>
          <w:tcPr>
            <w:tcW w:w="1440" w:type="dxa"/>
            <w:shd w:val="clear" w:color="auto" w:fill="F2F4F8"/>
            <w:tcMar>
              <w:top w:w="100" w:type="dxa"/>
              <w:left w:w="100" w:type="dxa"/>
              <w:bottom w:w="100" w:type="dxa"/>
              <w:right w:w="100" w:type="dxa"/>
            </w:tcMar>
            <w:vAlign w:val="center"/>
          </w:tcPr>
          <w:p w14:paraId="1368E454">
            <w:pPr>
              <w:spacing w:before="80" w:after="80" w:line="240" w:lineRule="auto"/>
            </w:pPr>
            <w:r>
              <w:rPr>
                <w:sz w:val="18"/>
              </w:rPr>
              <w:t>Float</w:t>
            </w:r>
          </w:p>
        </w:tc>
        <w:tc>
          <w:tcPr>
            <w:tcW w:w="3168" w:type="dxa"/>
            <w:shd w:val="clear" w:color="auto" w:fill="F2F4F8"/>
            <w:tcMar>
              <w:top w:w="100" w:type="dxa"/>
              <w:left w:w="100" w:type="dxa"/>
              <w:bottom w:w="100" w:type="dxa"/>
              <w:right w:w="100" w:type="dxa"/>
            </w:tcMar>
            <w:vAlign w:val="center"/>
          </w:tcPr>
          <w:p w14:paraId="3A0C2B41">
            <w:pPr>
              <w:spacing w:before="80" w:after="80" w:line="240" w:lineRule="auto"/>
            </w:pPr>
            <w:r>
              <w:rPr>
                <w:sz w:val="18"/>
              </w:rPr>
              <w:t>Transit distance in kilometers</w:t>
            </w:r>
          </w:p>
        </w:tc>
        <w:tc>
          <w:tcPr>
            <w:tcW w:w="3312" w:type="dxa"/>
            <w:shd w:val="clear" w:color="auto" w:fill="F2F4F8"/>
            <w:tcMar>
              <w:top w:w="100" w:type="dxa"/>
              <w:left w:w="100" w:type="dxa"/>
              <w:bottom w:w="100" w:type="dxa"/>
              <w:right w:w="100" w:type="dxa"/>
            </w:tcMar>
            <w:vAlign w:val="center"/>
          </w:tcPr>
          <w:p w14:paraId="7FE4340D">
            <w:pPr>
              <w:spacing w:before="80" w:after="80" w:line="240" w:lineRule="auto"/>
            </w:pPr>
            <w:r>
              <w:rPr>
                <w:sz w:val="18"/>
              </w:rPr>
              <w:t>Extreme negative outliers / sensor errors</w:t>
            </w:r>
          </w:p>
        </w:tc>
      </w:tr>
      <w:tr w14:paraId="7D94939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00" w:type="dxa"/>
              <w:left w:w="100" w:type="dxa"/>
              <w:bottom w:w="100" w:type="dxa"/>
              <w:right w:w="100" w:type="dxa"/>
            </w:tcMar>
            <w:vAlign w:val="center"/>
          </w:tcPr>
          <w:p w14:paraId="57F5B599">
            <w:pPr>
              <w:spacing w:before="80" w:after="80" w:line="240" w:lineRule="auto"/>
            </w:pPr>
            <w:r>
              <w:rPr>
                <w:sz w:val="18"/>
              </w:rPr>
              <w:t>Freight_Cost_USD</w:t>
            </w:r>
          </w:p>
        </w:tc>
        <w:tc>
          <w:tcPr>
            <w:tcW w:w="1440" w:type="dxa"/>
            <w:shd w:val="clear" w:color="auto" w:fill="FFFFFF"/>
            <w:tcMar>
              <w:top w:w="100" w:type="dxa"/>
              <w:left w:w="100" w:type="dxa"/>
              <w:bottom w:w="100" w:type="dxa"/>
              <w:right w:w="100" w:type="dxa"/>
            </w:tcMar>
            <w:vAlign w:val="center"/>
          </w:tcPr>
          <w:p w14:paraId="0844A532">
            <w:pPr>
              <w:spacing w:before="80" w:after="80" w:line="240" w:lineRule="auto"/>
            </w:pPr>
            <w:r>
              <w:rPr>
                <w:sz w:val="18"/>
              </w:rPr>
              <w:t>Float</w:t>
            </w:r>
          </w:p>
        </w:tc>
        <w:tc>
          <w:tcPr>
            <w:tcW w:w="3168" w:type="dxa"/>
            <w:shd w:val="clear" w:color="auto" w:fill="FFFFFF"/>
            <w:tcMar>
              <w:top w:w="100" w:type="dxa"/>
              <w:left w:w="100" w:type="dxa"/>
              <w:bottom w:w="100" w:type="dxa"/>
              <w:right w:w="100" w:type="dxa"/>
            </w:tcMar>
            <w:vAlign w:val="center"/>
          </w:tcPr>
          <w:p w14:paraId="4C82373F">
            <w:pPr>
              <w:spacing w:before="80" w:after="80" w:line="240" w:lineRule="auto"/>
            </w:pPr>
            <w:r>
              <w:rPr>
                <w:sz w:val="18"/>
              </w:rPr>
              <w:t>Shipping cost charged</w:t>
            </w:r>
          </w:p>
        </w:tc>
        <w:tc>
          <w:tcPr>
            <w:tcW w:w="3312" w:type="dxa"/>
            <w:shd w:val="clear" w:color="auto" w:fill="FFFFFF"/>
            <w:tcMar>
              <w:top w:w="100" w:type="dxa"/>
              <w:left w:w="100" w:type="dxa"/>
              <w:bottom w:w="100" w:type="dxa"/>
              <w:right w:w="100" w:type="dxa"/>
            </w:tcMar>
            <w:vAlign w:val="center"/>
          </w:tcPr>
          <w:p w14:paraId="3A8E3BB0">
            <w:pPr>
              <w:spacing w:before="80" w:after="80" w:line="240" w:lineRule="auto"/>
            </w:pPr>
            <w:r>
              <w:rPr>
                <w:sz w:val="18"/>
              </w:rPr>
              <w:t>Missing values (MCAR)</w:t>
            </w:r>
          </w:p>
        </w:tc>
      </w:tr>
      <w:tr w14:paraId="0470B2E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8"/>
            <w:tcMar>
              <w:top w:w="100" w:type="dxa"/>
              <w:left w:w="100" w:type="dxa"/>
              <w:bottom w:w="100" w:type="dxa"/>
              <w:right w:w="100" w:type="dxa"/>
            </w:tcMar>
            <w:vAlign w:val="center"/>
          </w:tcPr>
          <w:p w14:paraId="47EE3090">
            <w:pPr>
              <w:spacing w:before="80" w:after="80" w:line="240" w:lineRule="auto"/>
            </w:pPr>
            <w:r>
              <w:rPr>
                <w:sz w:val="18"/>
              </w:rPr>
              <w:t>Package_Weight_KG</w:t>
            </w:r>
          </w:p>
        </w:tc>
        <w:tc>
          <w:tcPr>
            <w:tcW w:w="1440" w:type="dxa"/>
            <w:shd w:val="clear" w:color="auto" w:fill="F2F4F8"/>
            <w:tcMar>
              <w:top w:w="100" w:type="dxa"/>
              <w:left w:w="100" w:type="dxa"/>
              <w:bottom w:w="100" w:type="dxa"/>
              <w:right w:w="100" w:type="dxa"/>
            </w:tcMar>
            <w:vAlign w:val="center"/>
          </w:tcPr>
          <w:p w14:paraId="17C9ED24">
            <w:pPr>
              <w:spacing w:before="80" w:after="80" w:line="240" w:lineRule="auto"/>
            </w:pPr>
            <w:r>
              <w:rPr>
                <w:sz w:val="18"/>
              </w:rPr>
              <w:t>Float</w:t>
            </w:r>
          </w:p>
        </w:tc>
        <w:tc>
          <w:tcPr>
            <w:tcW w:w="3168" w:type="dxa"/>
            <w:shd w:val="clear" w:color="auto" w:fill="F2F4F8"/>
            <w:tcMar>
              <w:top w:w="100" w:type="dxa"/>
              <w:left w:w="100" w:type="dxa"/>
              <w:bottom w:w="100" w:type="dxa"/>
              <w:right w:w="100" w:type="dxa"/>
            </w:tcMar>
            <w:vAlign w:val="center"/>
          </w:tcPr>
          <w:p w14:paraId="389B35FA">
            <w:pPr>
              <w:spacing w:before="80" w:after="80" w:line="240" w:lineRule="auto"/>
            </w:pPr>
            <w:r>
              <w:rPr>
                <w:sz w:val="18"/>
              </w:rPr>
              <w:t>Gross weight of shipment</w:t>
            </w:r>
          </w:p>
        </w:tc>
        <w:tc>
          <w:tcPr>
            <w:tcW w:w="3312" w:type="dxa"/>
            <w:shd w:val="clear" w:color="auto" w:fill="F2F4F8"/>
            <w:tcMar>
              <w:top w:w="100" w:type="dxa"/>
              <w:left w:w="100" w:type="dxa"/>
              <w:bottom w:w="100" w:type="dxa"/>
              <w:right w:w="100" w:type="dxa"/>
            </w:tcMar>
            <w:vAlign w:val="center"/>
          </w:tcPr>
          <w:p w14:paraId="35727EA1">
            <w:pPr>
              <w:spacing w:before="80" w:after="80" w:line="240" w:lineRule="auto"/>
            </w:pPr>
            <w:r>
              <w:rPr>
                <w:sz w:val="18"/>
              </w:rPr>
              <w:t>Outliers (faulty scale readings)</w:t>
            </w:r>
          </w:p>
        </w:tc>
      </w:tr>
      <w:tr w14:paraId="111FBE4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00" w:type="dxa"/>
              <w:left w:w="100" w:type="dxa"/>
              <w:bottom w:w="100" w:type="dxa"/>
              <w:right w:w="100" w:type="dxa"/>
            </w:tcMar>
            <w:vAlign w:val="center"/>
          </w:tcPr>
          <w:p w14:paraId="728C9F56">
            <w:pPr>
              <w:spacing w:before="80" w:after="80" w:line="240" w:lineRule="auto"/>
            </w:pPr>
            <w:r>
              <w:rPr>
                <w:sz w:val="18"/>
              </w:rPr>
              <w:t>Delay_Minutes</w:t>
            </w:r>
          </w:p>
        </w:tc>
        <w:tc>
          <w:tcPr>
            <w:tcW w:w="1440" w:type="dxa"/>
            <w:shd w:val="clear" w:color="auto" w:fill="FFFFFF"/>
            <w:tcMar>
              <w:top w:w="100" w:type="dxa"/>
              <w:left w:w="100" w:type="dxa"/>
              <w:bottom w:w="100" w:type="dxa"/>
              <w:right w:w="100" w:type="dxa"/>
            </w:tcMar>
            <w:vAlign w:val="center"/>
          </w:tcPr>
          <w:p w14:paraId="17C98867">
            <w:pPr>
              <w:spacing w:before="80" w:after="80" w:line="240" w:lineRule="auto"/>
            </w:pPr>
            <w:r>
              <w:rPr>
                <w:sz w:val="18"/>
              </w:rPr>
              <w:t>Float</w:t>
            </w:r>
          </w:p>
        </w:tc>
        <w:tc>
          <w:tcPr>
            <w:tcW w:w="3168" w:type="dxa"/>
            <w:shd w:val="clear" w:color="auto" w:fill="FFFFFF"/>
            <w:tcMar>
              <w:top w:w="100" w:type="dxa"/>
              <w:left w:w="100" w:type="dxa"/>
              <w:bottom w:w="100" w:type="dxa"/>
              <w:right w:w="100" w:type="dxa"/>
            </w:tcMar>
            <w:vAlign w:val="center"/>
          </w:tcPr>
          <w:p w14:paraId="29828919">
            <w:pPr>
              <w:spacing w:before="80" w:after="80" w:line="240" w:lineRule="auto"/>
            </w:pPr>
            <w:r>
              <w:rPr>
                <w:sz w:val="18"/>
              </w:rPr>
              <w:t>Difference from target schedule</w:t>
            </w:r>
          </w:p>
        </w:tc>
        <w:tc>
          <w:tcPr>
            <w:tcW w:w="3312" w:type="dxa"/>
            <w:shd w:val="clear" w:color="auto" w:fill="FFFFFF"/>
            <w:tcMar>
              <w:top w:w="100" w:type="dxa"/>
              <w:left w:w="100" w:type="dxa"/>
              <w:bottom w:w="100" w:type="dxa"/>
              <w:right w:w="100" w:type="dxa"/>
            </w:tcMar>
            <w:vAlign w:val="center"/>
          </w:tcPr>
          <w:p w14:paraId="0FD247F8">
            <w:pPr>
              <w:spacing w:before="80" w:after="80" w:line="240" w:lineRule="auto"/>
            </w:pPr>
            <w:r>
              <w:rPr>
                <w:sz w:val="18"/>
              </w:rPr>
              <w:t>Right-skewed distribution</w:t>
            </w:r>
          </w:p>
        </w:tc>
      </w:tr>
      <w:tr w14:paraId="208A071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8"/>
            <w:tcMar>
              <w:top w:w="100" w:type="dxa"/>
              <w:left w:w="100" w:type="dxa"/>
              <w:bottom w:w="100" w:type="dxa"/>
              <w:right w:w="100" w:type="dxa"/>
            </w:tcMar>
            <w:vAlign w:val="center"/>
          </w:tcPr>
          <w:p w14:paraId="09D45536">
            <w:pPr>
              <w:spacing w:before="80" w:after="80" w:line="240" w:lineRule="auto"/>
            </w:pPr>
            <w:r>
              <w:rPr>
                <w:sz w:val="18"/>
              </w:rPr>
              <w:t>Warehouse_Block</w:t>
            </w:r>
          </w:p>
        </w:tc>
        <w:tc>
          <w:tcPr>
            <w:tcW w:w="1440" w:type="dxa"/>
            <w:shd w:val="clear" w:color="auto" w:fill="F2F4F8"/>
            <w:tcMar>
              <w:top w:w="100" w:type="dxa"/>
              <w:left w:w="100" w:type="dxa"/>
              <w:bottom w:w="100" w:type="dxa"/>
              <w:right w:w="100" w:type="dxa"/>
            </w:tcMar>
            <w:vAlign w:val="center"/>
          </w:tcPr>
          <w:p w14:paraId="31D5A5CD">
            <w:pPr>
              <w:spacing w:before="80" w:after="80" w:line="240" w:lineRule="auto"/>
            </w:pPr>
            <w:r>
              <w:rPr>
                <w:sz w:val="18"/>
              </w:rPr>
              <w:t>Categorical</w:t>
            </w:r>
          </w:p>
        </w:tc>
        <w:tc>
          <w:tcPr>
            <w:tcW w:w="3168" w:type="dxa"/>
            <w:shd w:val="clear" w:color="auto" w:fill="F2F4F8"/>
            <w:tcMar>
              <w:top w:w="100" w:type="dxa"/>
              <w:left w:w="100" w:type="dxa"/>
              <w:bottom w:w="100" w:type="dxa"/>
              <w:right w:w="100" w:type="dxa"/>
            </w:tcMar>
            <w:vAlign w:val="center"/>
          </w:tcPr>
          <w:p w14:paraId="6C467140">
            <w:pPr>
              <w:spacing w:before="80" w:after="80" w:line="240" w:lineRule="auto"/>
            </w:pPr>
            <w:r>
              <w:rPr>
                <w:sz w:val="18"/>
              </w:rPr>
              <w:t>Origin facility node (A, B, C, D)</w:t>
            </w:r>
          </w:p>
        </w:tc>
        <w:tc>
          <w:tcPr>
            <w:tcW w:w="3312" w:type="dxa"/>
            <w:shd w:val="clear" w:color="auto" w:fill="F2F4F8"/>
            <w:tcMar>
              <w:top w:w="100" w:type="dxa"/>
              <w:left w:w="100" w:type="dxa"/>
              <w:bottom w:w="100" w:type="dxa"/>
              <w:right w:w="100" w:type="dxa"/>
            </w:tcMar>
            <w:vAlign w:val="center"/>
          </w:tcPr>
          <w:p w14:paraId="6573A4E6">
            <w:pPr>
              <w:spacing w:before="80" w:after="80" w:line="240" w:lineRule="auto"/>
            </w:pPr>
            <w:r>
              <w:rPr>
                <w:sz w:val="18"/>
              </w:rPr>
              <w:t>Categorical encoding required</w:t>
            </w:r>
          </w:p>
        </w:tc>
      </w:tr>
      <w:tr w14:paraId="14E31B6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00" w:type="dxa"/>
              <w:left w:w="100" w:type="dxa"/>
              <w:bottom w:w="100" w:type="dxa"/>
              <w:right w:w="100" w:type="dxa"/>
            </w:tcMar>
            <w:vAlign w:val="center"/>
          </w:tcPr>
          <w:p w14:paraId="6A3FAB2A">
            <w:pPr>
              <w:spacing w:before="80" w:after="80" w:line="240" w:lineRule="auto"/>
            </w:pPr>
            <w:r>
              <w:rPr>
                <w:sz w:val="18"/>
              </w:rPr>
              <w:t>Late_Delivery_Risk</w:t>
            </w:r>
          </w:p>
        </w:tc>
        <w:tc>
          <w:tcPr>
            <w:tcW w:w="1440" w:type="dxa"/>
            <w:shd w:val="clear" w:color="auto" w:fill="FFFFFF"/>
            <w:tcMar>
              <w:top w:w="100" w:type="dxa"/>
              <w:left w:w="100" w:type="dxa"/>
              <w:bottom w:w="100" w:type="dxa"/>
              <w:right w:w="100" w:type="dxa"/>
            </w:tcMar>
            <w:vAlign w:val="center"/>
          </w:tcPr>
          <w:p w14:paraId="27965CFA">
            <w:pPr>
              <w:spacing w:before="80" w:after="80" w:line="240" w:lineRule="auto"/>
            </w:pPr>
            <w:r>
              <w:rPr>
                <w:sz w:val="18"/>
              </w:rPr>
              <w:t>Binary (0/1)</w:t>
            </w:r>
          </w:p>
        </w:tc>
        <w:tc>
          <w:tcPr>
            <w:tcW w:w="3168" w:type="dxa"/>
            <w:shd w:val="clear" w:color="auto" w:fill="FFFFFF"/>
            <w:tcMar>
              <w:top w:w="100" w:type="dxa"/>
              <w:left w:w="100" w:type="dxa"/>
              <w:bottom w:w="100" w:type="dxa"/>
              <w:right w:w="100" w:type="dxa"/>
            </w:tcMar>
            <w:vAlign w:val="center"/>
          </w:tcPr>
          <w:p w14:paraId="4E7999D1">
            <w:pPr>
              <w:spacing w:before="80" w:after="80" w:line="240" w:lineRule="auto"/>
            </w:pPr>
            <w:r>
              <w:rPr>
                <w:sz w:val="18"/>
              </w:rPr>
              <w:t>Target indicator variable</w:t>
            </w:r>
          </w:p>
        </w:tc>
        <w:tc>
          <w:tcPr>
            <w:tcW w:w="3312" w:type="dxa"/>
            <w:shd w:val="clear" w:color="auto" w:fill="FFFFFF"/>
            <w:tcMar>
              <w:top w:w="100" w:type="dxa"/>
              <w:left w:w="100" w:type="dxa"/>
              <w:bottom w:w="100" w:type="dxa"/>
              <w:right w:w="100" w:type="dxa"/>
            </w:tcMar>
            <w:vAlign w:val="center"/>
          </w:tcPr>
          <w:p w14:paraId="2A0ECD34">
            <w:pPr>
              <w:spacing w:before="80" w:after="80" w:line="240" w:lineRule="auto"/>
            </w:pPr>
            <w:r>
              <w:rPr>
                <w:sz w:val="18"/>
              </w:rPr>
              <w:t>Imbalanced target labels</w:t>
            </w:r>
          </w:p>
        </w:tc>
      </w:tr>
    </w:tbl>
    <w:p w14:paraId="679F449D">
      <w:pPr>
        <w:spacing w:after="240"/>
      </w:pPr>
    </w:p>
    <w:p w14:paraId="64182116">
      <w:pPr>
        <w:keepNext/>
        <w:spacing w:before="360" w:after="120"/>
      </w:pPr>
      <w:r>
        <w:rPr>
          <w:rFonts w:ascii="Calibri Light" w:hAnsi="Calibri Light"/>
          <w:b/>
          <w:color w:val="1F4E79"/>
          <w:sz w:val="32"/>
        </w:rPr>
        <w:t>2. Data Cleaning &amp; Preprocessing Pipeline</w:t>
      </w:r>
    </w:p>
    <w:p w14:paraId="0CBA31F8">
      <w:r>
        <w:t>To clean and transform this raw logistics dataset into analysis-ready data, I designed a 5-step preprocessing pipeline using Python's core data science stack (pandas, numpy, scikit-learn). Each step addresses a specific data quality challenge encountered in logistics telemetry.</w:t>
      </w:r>
    </w:p>
    <w:p w14:paraId="5E1BBCED">
      <w:pPr>
        <w:keepNext/>
        <w:spacing w:before="280" w:after="80"/>
      </w:pPr>
      <w:r>
        <w:rPr>
          <w:b/>
          <w:color w:val="595959"/>
          <w:sz w:val="26"/>
        </w:rPr>
        <w:t>Step 1: Structural Cleaning &amp; De-duplication</w:t>
      </w:r>
    </w:p>
    <w:p w14:paraId="692BB506">
      <w:pPr>
        <w:spacing w:after="160"/>
      </w:pPr>
      <w:r>
        <w:t>Identified and removed exact row duplicates and instances with invalid primary keys (Shipment_ID). Standardized column naming conventions to lowercase snake_case for seamless software compatibility.</w:t>
      </w:r>
    </w:p>
    <w:p w14:paraId="4CCC9AB8">
      <w:pPr>
        <w:keepNext/>
        <w:spacing w:before="280" w:after="80"/>
      </w:pPr>
      <w:r>
        <w:rPr>
          <w:b/>
          <w:color w:val="595959"/>
          <w:sz w:val="26"/>
        </w:rPr>
        <w:t>Step 2: Missing Data Treatment</w:t>
      </w:r>
    </w:p>
    <w:p w14:paraId="60586221">
      <w:pPr>
        <w:spacing w:after="160"/>
      </w:pPr>
      <w:r>
        <w:t>Evaluated missing mechanisms:</w:t>
      </w:r>
      <w:r>
        <w:br w:type="textWrapping"/>
      </w:r>
      <w:r>
        <w:t>• Delivery_Date (MAR): Imputed missing values using Order_Date + median transit duration for the corresponding Shipping_Mode.</w:t>
      </w:r>
      <w:r>
        <w:br w:type="textWrapping"/>
      </w:r>
      <w:r>
        <w:t>• Freight_Cost_USD (MCAR): Grouped by Distance_KM deciles and Shipping_Mode, imputing the group median cost to prevent skewing the true distribution.</w:t>
      </w:r>
    </w:p>
    <w:p w14:paraId="39B96B4C">
      <w:pPr>
        <w:keepNext/>
        <w:spacing w:before="280" w:after="80"/>
      </w:pPr>
      <w:r>
        <w:rPr>
          <w:b/>
          <w:color w:val="595959"/>
          <w:sz w:val="26"/>
        </w:rPr>
        <w:t>Step 3: Outlier Detection &amp; Removal</w:t>
      </w:r>
    </w:p>
    <w:p w14:paraId="19561E40">
      <w:pPr>
        <w:spacing w:after="160"/>
      </w:pPr>
      <w:r>
        <w:t>Applied the Interquartile Range (IQR) method on Distance_KM and Package_Weight_KG. Records exceeding Q3 + 1.5 * IQR were capped (Winsorized) to preserve overall sample size while insulating the model from corrupt anomalies.</w:t>
      </w:r>
    </w:p>
    <w:p w14:paraId="17D33659">
      <w:pPr>
        <w:keepNext/>
        <w:spacing w:before="280" w:after="80"/>
      </w:pPr>
      <w:r>
        <w:rPr>
          <w:b/>
          <w:color w:val="595959"/>
          <w:sz w:val="26"/>
        </w:rPr>
        <w:t>Step 4: Categorical Encoding &amp; Standardization</w:t>
      </w:r>
    </w:p>
    <w:p w14:paraId="1CD8B78C">
      <w:pPr>
        <w:spacing w:after="160"/>
      </w:pPr>
      <w:r>
        <w:t>Standardized text casing and removed trailing whitespace. Applied One-Hot Encoding to nominal features (Shipping_Mode, Warehouse_Block) to convert non-numerical attributes without introducing unintended ordinal hierarchy.</w:t>
      </w:r>
    </w:p>
    <w:p w14:paraId="410626B6">
      <w:pPr>
        <w:keepNext/>
        <w:spacing w:before="280" w:after="80"/>
      </w:pPr>
      <w:r>
        <w:rPr>
          <w:b/>
          <w:color w:val="595959"/>
          <w:sz w:val="26"/>
        </w:rPr>
        <w:t>Step 5: Numerical Feature Normalization</w:t>
      </w:r>
    </w:p>
    <w:p w14:paraId="2407FE71">
      <w:pPr>
        <w:spacing w:after="160"/>
      </w:pPr>
      <w:r>
        <w:t>Scaled numerical features using StandardScaler (Z-score normalization). This ensures continuous features like Distance_KM (measured in thousands) do not disproportionately dominate model weights over smaller scales.</w:t>
      </w:r>
    </w:p>
    <w:p w14:paraId="61B90539">
      <w:pPr>
        <w:keepNext/>
        <w:spacing w:before="360" w:after="120"/>
      </w:pPr>
      <w:r>
        <w:rPr>
          <w:rFonts w:ascii="Calibri Light" w:hAnsi="Calibri Light"/>
          <w:b/>
          <w:color w:val="1F4E79"/>
          <w:sz w:val="32"/>
        </w:rPr>
        <w:t>3. Python Implementation Code</w:t>
      </w:r>
    </w:p>
    <w:p w14:paraId="120A4330">
      <w:pPr>
        <w:spacing w:after="160"/>
      </w:pPr>
      <w:r>
        <w:t>The complete Python script below executes the automated data preprocessing pipeline end-to-end:</w:t>
      </w:r>
    </w:p>
    <w:tbl>
      <w:tblPr>
        <w:tblStyle w:val="12"/>
        <w:tblW w:w="0" w:type="auto"/>
        <w:jc w:val="center"/>
        <w:tblLayout w:type="autofit"/>
        <w:tblCellMar>
          <w:top w:w="0" w:type="dxa"/>
          <w:left w:w="108" w:type="dxa"/>
          <w:bottom w:w="0" w:type="dxa"/>
          <w:right w:w="108" w:type="dxa"/>
        </w:tblCellMar>
      </w:tblPr>
      <w:tblGrid>
        <w:gridCol w:w="9360"/>
      </w:tblGrid>
      <w:tr w14:paraId="1EE43BE6">
        <w:tblPrEx>
          <w:tblCellMar>
            <w:top w:w="0" w:type="dxa"/>
            <w:left w:w="108" w:type="dxa"/>
            <w:bottom w:w="0" w:type="dxa"/>
            <w:right w:w="108" w:type="dxa"/>
          </w:tblCellMar>
        </w:tblPrEx>
        <w:trPr>
          <w:jc w:val="center"/>
        </w:trPr>
        <w:tc>
          <w:tcPr>
            <w:tcW w:w="9360" w:type="dxa"/>
            <w:tcBorders>
              <w:top w:val="single" w:color="D0D5DD" w:sz="4" w:space="0"/>
              <w:left w:val="single" w:color="1F4E79" w:sz="12" w:space="0"/>
              <w:bottom w:val="single" w:color="D0D5DD" w:sz="4" w:space="0"/>
              <w:right w:val="single" w:color="D0D5DD" w:sz="4" w:space="0"/>
            </w:tcBorders>
            <w:shd w:val="clear" w:color="auto" w:fill="F4F5F7"/>
            <w:tcMar>
              <w:top w:w="140" w:type="dxa"/>
              <w:left w:w="140" w:type="dxa"/>
              <w:bottom w:w="140" w:type="dxa"/>
              <w:right w:w="140" w:type="dxa"/>
            </w:tcMar>
          </w:tcPr>
          <w:p w14:paraId="2EC035FF">
            <w:pPr>
              <w:spacing w:after="0" w:line="252" w:lineRule="auto"/>
            </w:pPr>
            <w:r>
              <w:rPr>
                <w:rFonts w:ascii="Consolas" w:hAnsi="Consolas"/>
                <w:color w:val="282828"/>
                <w:sz w:val="17"/>
              </w:rPr>
              <w:t>import pandas as pd</w:t>
            </w:r>
            <w:r>
              <w:rPr>
                <w:rFonts w:ascii="Consolas" w:hAnsi="Consolas"/>
                <w:color w:val="282828"/>
                <w:sz w:val="17"/>
              </w:rPr>
              <w:br w:type="textWrapping"/>
            </w:r>
            <w:r>
              <w:rPr>
                <w:rFonts w:ascii="Consolas" w:hAnsi="Consolas"/>
                <w:color w:val="282828"/>
                <w:sz w:val="17"/>
              </w:rPr>
              <w:t>import numpy as np</w:t>
            </w:r>
            <w:r>
              <w:rPr>
                <w:rFonts w:ascii="Consolas" w:hAnsi="Consolas"/>
                <w:color w:val="282828"/>
                <w:sz w:val="17"/>
              </w:rPr>
              <w:br w:type="textWrapping"/>
            </w:r>
            <w:r>
              <w:rPr>
                <w:rFonts w:ascii="Consolas" w:hAnsi="Consolas"/>
                <w:color w:val="282828"/>
                <w:sz w:val="17"/>
              </w:rPr>
              <w:t>from sklearn.preprocessing import StandardScaler, OneHotEncoder</w:t>
            </w:r>
            <w:r>
              <w:rPr>
                <w:rFonts w:ascii="Consolas" w:hAnsi="Consolas"/>
                <w:color w:val="282828"/>
                <w:sz w:val="17"/>
              </w:rPr>
              <w:br w:type="textWrapping"/>
            </w:r>
            <w:r>
              <w:rPr>
                <w:rFonts w:ascii="Consolas" w:hAnsi="Consolas"/>
                <w:color w:val="282828"/>
                <w:sz w:val="17"/>
              </w:rPr>
              <w:br w:type="textWrapping"/>
            </w:r>
            <w:r>
              <w:rPr>
                <w:rFonts w:ascii="Consolas" w:hAnsi="Consolas"/>
                <w:color w:val="282828"/>
                <w:sz w:val="17"/>
              </w:rPr>
              <w:t>def execute_logistics_pipeline(raw_csv_path: str) -&gt; pd.DataFrame:</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 Step 1: Data Ingestion &amp; Structural Cleaning</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df = pd.read_csv(raw_csv_path)</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Standardize column headers</w:t>
            </w:r>
            <w:r>
              <w:rPr>
                <w:rFonts w:ascii="Consolas" w:hAnsi="Consolas"/>
                <w:color w:val="282828"/>
                <w:sz w:val="17"/>
              </w:rPr>
              <w:br w:type="textWrapping"/>
            </w:r>
            <w:r>
              <w:rPr>
                <w:rFonts w:ascii="Consolas" w:hAnsi="Consolas"/>
                <w:color w:val="282828"/>
                <w:sz w:val="17"/>
              </w:rPr>
              <w:t xml:space="preserve">    df.columns = df.columns.str.strip().str.lower().str.replace(' ', '_')</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Drop duplicate primary keys</w:t>
            </w:r>
            <w:r>
              <w:rPr>
                <w:rFonts w:ascii="Consolas" w:hAnsi="Consolas"/>
                <w:color w:val="282828"/>
                <w:sz w:val="17"/>
              </w:rPr>
              <w:br w:type="textWrapping"/>
            </w:r>
            <w:r>
              <w:rPr>
                <w:rFonts w:ascii="Consolas" w:hAnsi="Consolas"/>
                <w:color w:val="282828"/>
                <w:sz w:val="17"/>
              </w:rPr>
              <w:t xml:space="preserve">    df = df.drop_duplicates(subset=['shipment_id']).copy()</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Convert datetime columns</w:t>
            </w:r>
            <w:r>
              <w:rPr>
                <w:rFonts w:ascii="Consolas" w:hAnsi="Consolas"/>
                <w:color w:val="282828"/>
                <w:sz w:val="17"/>
              </w:rPr>
              <w:br w:type="textWrapping"/>
            </w:r>
            <w:r>
              <w:rPr>
                <w:rFonts w:ascii="Consolas" w:hAnsi="Consolas"/>
                <w:color w:val="282828"/>
                <w:sz w:val="17"/>
              </w:rPr>
              <w:t xml:space="preserve">    df['order_date'] = pd.to_datetime(df['order_date'], errors='coerce')</w:t>
            </w:r>
            <w:r>
              <w:rPr>
                <w:rFonts w:ascii="Consolas" w:hAnsi="Consolas"/>
                <w:color w:val="282828"/>
                <w:sz w:val="17"/>
              </w:rPr>
              <w:br w:type="textWrapping"/>
            </w:r>
            <w:r>
              <w:rPr>
                <w:rFonts w:ascii="Consolas" w:hAnsi="Consolas"/>
                <w:color w:val="282828"/>
                <w:sz w:val="17"/>
              </w:rPr>
              <w:t xml:space="preserve">    df['delivery_date'] = pd.to_datetime(df['delivery_date'], errors='coerce')</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 Step 2: Handling Missing Data</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 Remove negative distance errors</w:t>
            </w:r>
            <w:r>
              <w:rPr>
                <w:rFonts w:ascii="Consolas" w:hAnsi="Consolas"/>
                <w:color w:val="282828"/>
                <w:sz w:val="17"/>
              </w:rPr>
              <w:br w:type="textWrapping"/>
            </w:r>
            <w:r>
              <w:rPr>
                <w:rFonts w:ascii="Consolas" w:hAnsi="Consolas"/>
                <w:color w:val="282828"/>
                <w:sz w:val="17"/>
              </w:rPr>
              <w:t xml:space="preserve">    df.loc[df['distance_km'] &lt;= 0, 'distance_km'] = np.nan</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Median Imputation based on operational groupings</w:t>
            </w:r>
            <w:r>
              <w:rPr>
                <w:rFonts w:ascii="Consolas" w:hAnsi="Consolas"/>
                <w:color w:val="282828"/>
                <w:sz w:val="17"/>
              </w:rPr>
              <w:br w:type="textWrapping"/>
            </w:r>
            <w:r>
              <w:rPr>
                <w:rFonts w:ascii="Consolas" w:hAnsi="Consolas"/>
                <w:color w:val="282828"/>
                <w:sz w:val="17"/>
              </w:rPr>
              <w:t xml:space="preserve">    df['distance_km'] = df.groupby('shipping_mode')['distance_km'].transform(</w:t>
            </w:r>
            <w:r>
              <w:rPr>
                <w:rFonts w:ascii="Consolas" w:hAnsi="Consolas"/>
                <w:color w:val="282828"/>
                <w:sz w:val="17"/>
              </w:rPr>
              <w:br w:type="textWrapping"/>
            </w:r>
            <w:r>
              <w:rPr>
                <w:rFonts w:ascii="Consolas" w:hAnsi="Consolas"/>
                <w:color w:val="282828"/>
                <w:sz w:val="17"/>
              </w:rPr>
              <w:t xml:space="preserve">        lambda x: x.fillna(x.median())</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df['freight_cost_usd'] = df.groupby('shipping_mode')['freight_cost_usd'].transform(</w:t>
            </w:r>
            <w:r>
              <w:rPr>
                <w:rFonts w:ascii="Consolas" w:hAnsi="Consolas"/>
                <w:color w:val="282828"/>
                <w:sz w:val="17"/>
              </w:rPr>
              <w:br w:type="textWrapping"/>
            </w:r>
            <w:r>
              <w:rPr>
                <w:rFonts w:ascii="Consolas" w:hAnsi="Consolas"/>
                <w:color w:val="282828"/>
                <w:sz w:val="17"/>
              </w:rPr>
              <w:t xml:space="preserve">        lambda x: x.fillna(x.median())</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Impute missing delivery dates using calculated average transit times</w:t>
            </w:r>
            <w:r>
              <w:rPr>
                <w:rFonts w:ascii="Consolas" w:hAnsi="Consolas"/>
                <w:color w:val="282828"/>
                <w:sz w:val="17"/>
              </w:rPr>
              <w:br w:type="textWrapping"/>
            </w:r>
            <w:r>
              <w:rPr>
                <w:rFonts w:ascii="Consolas" w:hAnsi="Consolas"/>
                <w:color w:val="282828"/>
                <w:sz w:val="17"/>
              </w:rPr>
              <w:t xml:space="preserve">    transit_medians = (df['delivery_date'] - df['order_date']).dt.total_seconds() / 86400</w:t>
            </w:r>
            <w:r>
              <w:rPr>
                <w:rFonts w:ascii="Consolas" w:hAnsi="Consolas"/>
                <w:color w:val="282828"/>
                <w:sz w:val="17"/>
              </w:rPr>
              <w:br w:type="textWrapping"/>
            </w:r>
            <w:r>
              <w:rPr>
                <w:rFonts w:ascii="Consolas" w:hAnsi="Consolas"/>
                <w:color w:val="282828"/>
                <w:sz w:val="17"/>
              </w:rPr>
              <w:t xml:space="preserve">    median_days = transit_medians.median()</w:t>
            </w:r>
            <w:r>
              <w:rPr>
                <w:rFonts w:ascii="Consolas" w:hAnsi="Consolas"/>
                <w:color w:val="282828"/>
                <w:sz w:val="17"/>
              </w:rPr>
              <w:br w:type="textWrapping"/>
            </w:r>
            <w:r>
              <w:rPr>
                <w:rFonts w:ascii="Consolas" w:hAnsi="Consolas"/>
                <w:color w:val="282828"/>
                <w:sz w:val="17"/>
              </w:rPr>
              <w:t xml:space="preserve">    df['delivery_date'] = df['delivery_date'].fillna(df['order_date'] + pd.Timedelta(days=median_days))</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 Step 3: Outlier Treatment (IQR Method &amp; Winsorization)</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for col in ['package_weight_kg', 'freight_cost_usd']:</w:t>
            </w:r>
            <w:r>
              <w:rPr>
                <w:rFonts w:ascii="Consolas" w:hAnsi="Consolas"/>
                <w:color w:val="282828"/>
                <w:sz w:val="17"/>
              </w:rPr>
              <w:br w:type="textWrapping"/>
            </w:r>
            <w:r>
              <w:rPr>
                <w:rFonts w:ascii="Consolas" w:hAnsi="Consolas"/>
                <w:color w:val="282828"/>
                <w:sz w:val="17"/>
              </w:rPr>
              <w:t xml:space="preserve">        Q1 = df[col].quantile(0.25)</w:t>
            </w:r>
            <w:r>
              <w:rPr>
                <w:rFonts w:ascii="Consolas" w:hAnsi="Consolas"/>
                <w:color w:val="282828"/>
                <w:sz w:val="17"/>
              </w:rPr>
              <w:br w:type="textWrapping"/>
            </w:r>
            <w:r>
              <w:rPr>
                <w:rFonts w:ascii="Consolas" w:hAnsi="Consolas"/>
                <w:color w:val="282828"/>
                <w:sz w:val="17"/>
              </w:rPr>
              <w:t xml:space="preserve">        Q3 = df[col].quantile(0.75)</w:t>
            </w:r>
            <w:r>
              <w:rPr>
                <w:rFonts w:ascii="Consolas" w:hAnsi="Consolas"/>
                <w:color w:val="282828"/>
                <w:sz w:val="17"/>
              </w:rPr>
              <w:br w:type="textWrapping"/>
            </w:r>
            <w:r>
              <w:rPr>
                <w:rFonts w:ascii="Consolas" w:hAnsi="Consolas"/>
                <w:color w:val="282828"/>
                <w:sz w:val="17"/>
              </w:rPr>
              <w:t xml:space="preserve">        IQR = Q3 - Q1</w:t>
            </w:r>
            <w:r>
              <w:rPr>
                <w:rFonts w:ascii="Consolas" w:hAnsi="Consolas"/>
                <w:color w:val="282828"/>
                <w:sz w:val="17"/>
              </w:rPr>
              <w:br w:type="textWrapping"/>
            </w:r>
            <w:r>
              <w:rPr>
                <w:rFonts w:ascii="Consolas" w:hAnsi="Consolas"/>
                <w:color w:val="282828"/>
                <w:sz w:val="17"/>
              </w:rPr>
              <w:t xml:space="preserve">        lower_bound = Q1 - 1.5 * IQR</w:t>
            </w:r>
            <w:r>
              <w:rPr>
                <w:rFonts w:ascii="Consolas" w:hAnsi="Consolas"/>
                <w:color w:val="282828"/>
                <w:sz w:val="17"/>
              </w:rPr>
              <w:br w:type="textWrapping"/>
            </w:r>
            <w:r>
              <w:rPr>
                <w:rFonts w:ascii="Consolas" w:hAnsi="Consolas"/>
                <w:color w:val="282828"/>
                <w:sz w:val="17"/>
              </w:rPr>
              <w:t xml:space="preserve">        upper_bound = Q3 + 1.5 * IQR</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Winsorize: Cap extreme outliers instead of dropping rows</w:t>
            </w:r>
            <w:r>
              <w:rPr>
                <w:rFonts w:ascii="Consolas" w:hAnsi="Consolas"/>
                <w:color w:val="282828"/>
                <w:sz w:val="17"/>
              </w:rPr>
              <w:br w:type="textWrapping"/>
            </w:r>
            <w:r>
              <w:rPr>
                <w:rFonts w:ascii="Consolas" w:hAnsi="Consolas"/>
                <w:color w:val="282828"/>
                <w:sz w:val="17"/>
              </w:rPr>
              <w:t xml:space="preserve">        df[col] = np.clip(df[col], lower_bound, upper_bound)</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 Step 4: Categorical Encoding</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categorical_cols = ['shipping_mode', 'warehouse_block']</w:t>
            </w:r>
            <w:r>
              <w:rPr>
                <w:rFonts w:ascii="Consolas" w:hAnsi="Consolas"/>
                <w:color w:val="282828"/>
                <w:sz w:val="17"/>
              </w:rPr>
              <w:br w:type="textWrapping"/>
            </w:r>
            <w:r>
              <w:rPr>
                <w:rFonts w:ascii="Consolas" w:hAnsi="Consolas"/>
                <w:color w:val="282828"/>
                <w:sz w:val="17"/>
              </w:rPr>
              <w:t xml:space="preserve">    encoder = OneHotEncoder(sparse_output=False, drop='first')</w:t>
            </w:r>
            <w:r>
              <w:rPr>
                <w:rFonts w:ascii="Consolas" w:hAnsi="Consolas"/>
                <w:color w:val="282828"/>
                <w:sz w:val="17"/>
              </w:rPr>
              <w:br w:type="textWrapping"/>
            </w:r>
            <w:r>
              <w:rPr>
                <w:rFonts w:ascii="Consolas" w:hAnsi="Consolas"/>
                <w:color w:val="282828"/>
                <w:sz w:val="17"/>
              </w:rPr>
              <w:t xml:space="preserve">    encoded_array = encoder.fit_transform(df[categorical_cols])</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encoded_df = pd.DataFrame(</w:t>
            </w:r>
            <w:r>
              <w:rPr>
                <w:rFonts w:ascii="Consolas" w:hAnsi="Consolas"/>
                <w:color w:val="282828"/>
                <w:sz w:val="17"/>
              </w:rPr>
              <w:br w:type="textWrapping"/>
            </w:r>
            <w:r>
              <w:rPr>
                <w:rFonts w:ascii="Consolas" w:hAnsi="Consolas"/>
                <w:color w:val="282828"/>
                <w:sz w:val="17"/>
              </w:rPr>
              <w:t xml:space="preserve">        encoded_array, </w:t>
            </w:r>
            <w:r>
              <w:rPr>
                <w:rFonts w:ascii="Consolas" w:hAnsi="Consolas"/>
                <w:color w:val="282828"/>
                <w:sz w:val="17"/>
              </w:rPr>
              <w:br w:type="textWrapping"/>
            </w:r>
            <w:r>
              <w:rPr>
                <w:rFonts w:ascii="Consolas" w:hAnsi="Consolas"/>
                <w:color w:val="282828"/>
                <w:sz w:val="17"/>
              </w:rPr>
              <w:t xml:space="preserve">        columns=encoder.get_feature_names_out(categorical_cols),</w:t>
            </w:r>
            <w:r>
              <w:rPr>
                <w:rFonts w:ascii="Consolas" w:hAnsi="Consolas"/>
                <w:color w:val="282828"/>
                <w:sz w:val="17"/>
              </w:rPr>
              <w:br w:type="textWrapping"/>
            </w:r>
            <w:r>
              <w:rPr>
                <w:rFonts w:ascii="Consolas" w:hAnsi="Consolas"/>
                <w:color w:val="282828"/>
                <w:sz w:val="17"/>
              </w:rPr>
              <w:t xml:space="preserve">        index=df.index</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df = pd.concat([df.drop(columns=categorical_cols), encoded_df], axis=1)</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 Step 5: Feature Normalization (Standard Scaling)</w:t>
            </w:r>
            <w:r>
              <w:rPr>
                <w:rFonts w:ascii="Consolas" w:hAnsi="Consolas"/>
                <w:color w:val="282828"/>
                <w:sz w:val="17"/>
              </w:rPr>
              <w:br w:type="textWrapping"/>
            </w:r>
            <w:r>
              <w:rPr>
                <w:rFonts w:ascii="Consolas" w:hAnsi="Consolas"/>
                <w:color w:val="282828"/>
                <w:sz w:val="17"/>
              </w:rPr>
              <w:t xml:space="preserve">    # ---------------------------------------------------------</w:t>
            </w:r>
            <w:r>
              <w:rPr>
                <w:rFonts w:ascii="Consolas" w:hAnsi="Consolas"/>
                <w:color w:val="282828"/>
                <w:sz w:val="17"/>
              </w:rPr>
              <w:br w:type="textWrapping"/>
            </w:r>
            <w:r>
              <w:rPr>
                <w:rFonts w:ascii="Consolas" w:hAnsi="Consolas"/>
                <w:color w:val="282828"/>
                <w:sz w:val="17"/>
              </w:rPr>
              <w:t xml:space="preserve">    scaler = StandardScaler()</w:t>
            </w:r>
            <w:r>
              <w:rPr>
                <w:rFonts w:ascii="Consolas" w:hAnsi="Consolas"/>
                <w:color w:val="282828"/>
                <w:sz w:val="17"/>
              </w:rPr>
              <w:br w:type="textWrapping"/>
            </w:r>
            <w:r>
              <w:rPr>
                <w:rFonts w:ascii="Consolas" w:hAnsi="Consolas"/>
                <w:color w:val="282828"/>
                <w:sz w:val="17"/>
              </w:rPr>
              <w:t xml:space="preserve">    num_cols = ['distance_km', 'freight_cost_usd', 'package_weight_kg']</w:t>
            </w:r>
            <w:r>
              <w:rPr>
                <w:rFonts w:ascii="Consolas" w:hAnsi="Consolas"/>
                <w:color w:val="282828"/>
                <w:sz w:val="17"/>
              </w:rPr>
              <w:br w:type="textWrapping"/>
            </w:r>
            <w:r>
              <w:rPr>
                <w:rFonts w:ascii="Consolas" w:hAnsi="Consolas"/>
                <w:color w:val="282828"/>
                <w:sz w:val="17"/>
              </w:rPr>
              <w:t xml:space="preserve">    df[num_cols] = scaler.fit_transform(df[num_cols])</w:t>
            </w:r>
            <w:r>
              <w:rPr>
                <w:rFonts w:ascii="Consolas" w:hAnsi="Consolas"/>
                <w:color w:val="282828"/>
                <w:sz w:val="17"/>
              </w:rPr>
              <w:br w:type="textWrapping"/>
            </w:r>
            <w:r>
              <w:rPr>
                <w:rFonts w:ascii="Consolas" w:hAnsi="Consolas"/>
                <w:color w:val="282828"/>
                <w:sz w:val="17"/>
              </w:rPr>
              <w:t xml:space="preserve">    </w:t>
            </w:r>
            <w:r>
              <w:rPr>
                <w:rFonts w:ascii="Consolas" w:hAnsi="Consolas"/>
                <w:color w:val="282828"/>
                <w:sz w:val="17"/>
              </w:rPr>
              <w:br w:type="textWrapping"/>
            </w:r>
            <w:r>
              <w:rPr>
                <w:rFonts w:ascii="Consolas" w:hAnsi="Consolas"/>
                <w:color w:val="282828"/>
                <w:sz w:val="17"/>
              </w:rPr>
              <w:t xml:space="preserve">    return df</w:t>
            </w:r>
            <w:r>
              <w:rPr>
                <w:rFonts w:ascii="Consolas" w:hAnsi="Consolas"/>
                <w:color w:val="282828"/>
                <w:sz w:val="17"/>
              </w:rPr>
              <w:br w:type="textWrapping"/>
            </w:r>
            <w:r>
              <w:rPr>
                <w:rFonts w:ascii="Consolas" w:hAnsi="Consolas"/>
                <w:color w:val="282828"/>
                <w:sz w:val="17"/>
              </w:rPr>
              <w:br w:type="textWrapping"/>
            </w:r>
            <w:r>
              <w:rPr>
                <w:rFonts w:ascii="Consolas" w:hAnsi="Consolas"/>
                <w:color w:val="282828"/>
                <w:sz w:val="17"/>
              </w:rPr>
              <w:t>if __name__ == "__main__":</w:t>
            </w:r>
            <w:r>
              <w:rPr>
                <w:rFonts w:ascii="Consolas" w:hAnsi="Consolas"/>
                <w:color w:val="282828"/>
                <w:sz w:val="17"/>
              </w:rPr>
              <w:br w:type="textWrapping"/>
            </w:r>
            <w:r>
              <w:rPr>
                <w:rFonts w:ascii="Consolas" w:hAnsi="Consolas"/>
                <w:color w:val="282828"/>
                <w:sz w:val="17"/>
              </w:rPr>
              <w:t xml:space="preserve">    print("Pipeline executed successfully. Processed dataset ready for modeling.")</w:t>
            </w:r>
          </w:p>
        </w:tc>
      </w:tr>
    </w:tbl>
    <w:p w14:paraId="34DAAC3D">
      <w:pPr>
        <w:spacing w:after="240"/>
      </w:pPr>
    </w:p>
    <w:p w14:paraId="440E7727">
      <w:pPr>
        <w:keepNext/>
        <w:spacing w:before="360" w:after="120"/>
      </w:pPr>
      <w:r>
        <w:rPr>
          <w:rFonts w:ascii="Calibri Light" w:hAnsi="Calibri Light"/>
          <w:b/>
          <w:color w:val="1F4E79"/>
          <w:sz w:val="32"/>
        </w:rPr>
        <w:t>4. Methodological Justification &amp; Reflection</w:t>
      </w:r>
    </w:p>
    <w:p w14:paraId="79FDE895">
      <w:pPr>
        <w:keepNext/>
        <w:spacing w:before="280" w:after="80"/>
      </w:pPr>
      <w:r>
        <w:rPr>
          <w:b/>
          <w:color w:val="595959"/>
          <w:sz w:val="26"/>
        </w:rPr>
        <w:t>Why Median Imputation over Mean Imputation?</w:t>
      </w:r>
    </w:p>
    <w:p w14:paraId="1CD09F08">
      <w:pPr>
        <w:spacing w:after="160"/>
      </w:pPr>
      <w:r>
        <w:t>Logistics operational metrics (e.g., freight costs and shipping delays) are inherently right-skewed due to occasional expedited air-freight requests or severe customs bottlenecks. Mean imputation would artificially inflate missing values toward these extreme tail values. Using median imputation provides a robust measure of central tendency that preserves realistic operational baselines.</w:t>
      </w:r>
    </w:p>
    <w:p w14:paraId="0A71B5F9">
      <w:pPr>
        <w:keepNext/>
        <w:spacing w:before="280" w:after="80"/>
      </w:pPr>
      <w:r>
        <w:rPr>
          <w:b/>
          <w:color w:val="595959"/>
          <w:sz w:val="26"/>
        </w:rPr>
        <w:t>Why Winsorization over Row Elimination?</w:t>
      </w:r>
    </w:p>
    <w:p w14:paraId="475ED08C">
      <w:pPr>
        <w:spacing w:after="160"/>
      </w:pPr>
      <w:r>
        <w:t>Supply chain transactional data is expensive to gather and essential for historical auditing. Simply dropping rows containing extreme weights or distances risks discarding valid edge-case failure modes. Capping outliers (Winsorizing) retains structural sample size while shielding machine learning algorithms from numerical instability.</w:t>
      </w:r>
    </w:p>
    <w:p w14:paraId="1B736274">
      <w:pPr>
        <w:keepNext/>
        <w:spacing w:before="280" w:after="80"/>
      </w:pPr>
      <w:r>
        <w:rPr>
          <w:b/>
          <w:color w:val="595959"/>
          <w:sz w:val="26"/>
        </w:rPr>
        <w:t>Business &amp; Operational Impact</w:t>
      </w:r>
    </w:p>
    <w:p w14:paraId="3494BC94">
      <w:pPr>
        <w:spacing w:after="280"/>
      </w:pPr>
      <w:r>
        <w:t>High-quality, standardized data directly impacts predictive accuracy in downstream logistics tasks, such as estimating On-Time In-Full (OTIF) delivery probabilities. By reducing noise and eliminating corrupt data, supply chain decision-makers can accurately optimize safety stock buffer levels, reduce holding costs, and proactively re-route delayed shipments.</w:t>
      </w:r>
    </w:p>
    <w:tbl>
      <w:tblPr>
        <w:tblStyle w:val="12"/>
        <w:tblW w:w="0" w:type="auto"/>
        <w:jc w:val="center"/>
        <w:tblLayout w:type="autofit"/>
        <w:tblCellMar>
          <w:top w:w="0" w:type="dxa"/>
          <w:left w:w="108" w:type="dxa"/>
          <w:bottom w:w="0" w:type="dxa"/>
          <w:right w:w="108" w:type="dxa"/>
        </w:tblCellMar>
      </w:tblPr>
      <w:tblGrid>
        <w:gridCol w:w="9360"/>
      </w:tblGrid>
      <w:tr w14:paraId="06B1A504">
        <w:tblPrEx>
          <w:tblCellMar>
            <w:top w:w="0" w:type="dxa"/>
            <w:left w:w="108" w:type="dxa"/>
            <w:bottom w:w="0" w:type="dxa"/>
            <w:right w:w="108" w:type="dxa"/>
          </w:tblCellMar>
        </w:tblPrEx>
        <w:trPr>
          <w:jc w:val="center"/>
        </w:trPr>
        <w:tc>
          <w:tcPr>
            <w:tcW w:w="9360" w:type="dxa"/>
            <w:tcBorders>
              <w:left w:val="single" w:color="1F4E79" w:sz="24" w:space="0"/>
            </w:tcBorders>
            <w:shd w:val="clear" w:color="auto" w:fill="F2F4F8"/>
            <w:tcMar>
              <w:top w:w="120" w:type="dxa"/>
              <w:left w:w="150" w:type="dxa"/>
              <w:bottom w:w="120" w:type="dxa"/>
              <w:right w:w="150" w:type="dxa"/>
            </w:tcMar>
          </w:tcPr>
          <w:p w14:paraId="49135BB2">
            <w:pPr>
              <w:spacing w:after="0"/>
            </w:pPr>
            <w:r>
              <w:rPr>
                <w:b/>
                <w:color w:val="1F4E79"/>
                <w:sz w:val="21"/>
              </w:rPr>
              <w:t>Summary Checklist for Week 2 Submission:</w:t>
            </w:r>
            <w:r>
              <w:rPr>
                <w:b/>
                <w:color w:val="1F4E79"/>
                <w:sz w:val="21"/>
              </w:rPr>
              <w:br w:type="textWrapping"/>
            </w:r>
            <w:r>
              <w:rPr>
                <w:color w:val="595959"/>
                <w:sz w:val="19"/>
              </w:rPr>
              <w:t>✔ Dataset collection &amp; simulation characteristics documented</w:t>
            </w:r>
            <w:r>
              <w:rPr>
                <w:color w:val="595959"/>
                <w:sz w:val="19"/>
              </w:rPr>
              <w:br w:type="textWrapping"/>
            </w:r>
            <w:r>
              <w:rPr>
                <w:color w:val="595959"/>
                <w:sz w:val="19"/>
              </w:rPr>
              <w:t>✔ Data quality issues (missingness, outliers, formatting) addressed</w:t>
            </w:r>
            <w:r>
              <w:rPr>
                <w:color w:val="595959"/>
                <w:sz w:val="19"/>
              </w:rPr>
              <w:br w:type="textWrapping"/>
            </w:r>
            <w:r>
              <w:rPr>
                <w:color w:val="595959"/>
                <w:sz w:val="19"/>
              </w:rPr>
              <w:t>✔ Automated Python preprocessing pipeline implemented</w:t>
            </w:r>
            <w:r>
              <w:rPr>
                <w:color w:val="595959"/>
                <w:sz w:val="19"/>
              </w:rPr>
              <w:br w:type="textWrapping"/>
            </w:r>
            <w:r>
              <w:rPr>
                <w:color w:val="595959"/>
                <w:sz w:val="19"/>
              </w:rPr>
              <w:t>✔ Methodological choices justified for real-world logistics analytics</w:t>
            </w:r>
          </w:p>
        </w:tc>
      </w:tr>
    </w:tbl>
    <w:p w14:paraId="68144CC3"/>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6C84"/>
    <w:rsid w:val="0029639D"/>
    <w:rsid w:val="00326F90"/>
    <w:rsid w:val="00552BD6"/>
    <w:rsid w:val="00831456"/>
    <w:rsid w:val="00915220"/>
    <w:rsid w:val="0093392A"/>
    <w:rsid w:val="00AA1D8D"/>
    <w:rsid w:val="00B47730"/>
    <w:rsid w:val="00CB0664"/>
    <w:rsid w:val="00EC4FDA"/>
    <w:rsid w:val="00FC693F"/>
    <w:rsid w:val="556E04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892</Words>
  <Characters>7124</Characters>
  <Lines>59</Lines>
  <Paragraphs>16</Paragraphs>
  <TotalTime>1</TotalTime>
  <ScaleCrop>false</ScaleCrop>
  <LinksUpToDate>false</LinksUpToDate>
  <CharactersWithSpaces>8217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2026-08-27T11:42:00Z</dcterms:created>
  <dc:creator>python-docx</dc:creator>
  <dc:description>generated by python-docx</dc:description>
  <cp:lastModifiedBy>Sahil Thakur</cp:lastModifiedBy>
  <dcterms:modified xsi:type="dcterms:W3CDTF">2026-08-27T11:45:36Z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eyJoZGlkIjoiMDk5OWQxNDc0NDc3YTc0NWNhN2MxMjRkYTk5OGRkOGUiLCJ1c2VySWQiOiI1NjcxMjQwOTEzMTgifQ==</vt:lpwstr>
  </property>
  <property fmtid="{D5CDD505-2E9C-101B-9397-08002B2CF9AE}" pid="3" name="KSOProductBuildVer">
    <vt:lpwstr>1033-12.1.0.28032</vt:lpwstr>
  </property>
  <property fmtid="{D5CDD505-2E9C-101B-9397-08002B2CF9AE}" pid="4" name="ICV">
    <vt:lpwstr>9E3C385873DE45BB8AF9DA49C084FDE5_12</vt:lpwstr>
  </property>
</Properties>
</file>