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9799" w14:textId="60E3993D" w:rsidR="000332C3" w:rsidRPr="000332C3" w:rsidRDefault="000332C3" w:rsidP="000332C3">
      <w:pPr>
        <w:tabs>
          <w:tab w:val="center" w:pos="4800"/>
          <w:tab w:val="right" w:pos="9500"/>
        </w:tabs>
        <w:spacing w:before="156" w:after="156"/>
        <w:ind w:firstLine="0"/>
        <w:jc w:val="center"/>
        <w:rPr>
          <w:rFonts w:hint="eastAsia"/>
          <w:noProof/>
          <w:sz w:val="32"/>
          <w:szCs w:val="32"/>
        </w:rPr>
      </w:pPr>
      <w:r w:rsidRPr="000332C3">
        <w:rPr>
          <w:rFonts w:hint="eastAsia"/>
          <w:noProof/>
          <w:sz w:val="32"/>
          <w:szCs w:val="32"/>
        </w:rPr>
        <w:t>G</w:t>
      </w:r>
      <w:r w:rsidRPr="000332C3">
        <w:rPr>
          <w:noProof/>
          <w:sz w:val="32"/>
          <w:szCs w:val="32"/>
        </w:rPr>
        <w:t>rey Model Prediction Intro</w:t>
      </w:r>
    </w:p>
    <w:p w14:paraId="62F954C1" w14:textId="1940A8DE" w:rsidR="000332C3" w:rsidRDefault="000332C3" w:rsidP="000332C3">
      <w:pPr>
        <w:tabs>
          <w:tab w:val="center" w:pos="4800"/>
          <w:tab w:val="right" w:pos="9500"/>
        </w:tabs>
        <w:spacing w:before="156" w:after="156"/>
        <w:rPr>
          <w:noProof/>
        </w:rPr>
      </w:pPr>
      <w:r>
        <w:rPr>
          <w:rFonts w:hint="eastAsia"/>
          <w:noProof/>
        </w:rPr>
        <w:t>全球的电力消耗尚无可预见的上限。同时，随着技术的发展，电力的生产与消耗也会不断增加。因此，我们采用</w:t>
      </w:r>
      <w:r>
        <w:rPr>
          <w:rFonts w:hint="eastAsia"/>
          <w:noProof/>
        </w:rPr>
        <w:t>GM</w:t>
      </w:r>
      <w:r>
        <w:rPr>
          <w:rFonts w:hint="eastAsia"/>
          <w:noProof/>
        </w:rPr>
        <w:t>（灰色模型）对其进行预测。</w:t>
      </w:r>
    </w:p>
    <w:p w14:paraId="3612D548" w14:textId="77777777" w:rsidR="004D15B9" w:rsidRDefault="004D15B9" w:rsidP="004D15B9">
      <w:pPr>
        <w:tabs>
          <w:tab w:val="center" w:pos="4800"/>
          <w:tab w:val="right" w:pos="9500"/>
        </w:tabs>
        <w:spacing w:before="156" w:after="156"/>
        <w:rPr>
          <w:noProof/>
        </w:rPr>
      </w:pPr>
      <w:r w:rsidRPr="001D6CFC">
        <w:rPr>
          <w:noProof/>
        </w:rPr>
        <w:t xml:space="preserve">The </w:t>
      </w:r>
      <w:r w:rsidRPr="001D6CFC">
        <w:rPr>
          <w:b/>
          <w:bCs/>
          <w:noProof/>
        </w:rPr>
        <w:t>Gray Box Model</w:t>
      </w:r>
      <w:r w:rsidRPr="001D6CFC">
        <w:rPr>
          <w:noProof/>
        </w:rPr>
        <w:t xml:space="preserve"> is a prediction method that </w:t>
      </w:r>
      <w:r>
        <w:rPr>
          <w:noProof/>
        </w:rPr>
        <w:t>establishes</w:t>
      </w:r>
      <w:r w:rsidRPr="001D6CFC">
        <w:rPr>
          <w:noProof/>
        </w:rPr>
        <w:t xml:space="preserve"> a differential prediction model by a set of chaotic information to make a fuzzy long-term description of the development trend.</w:t>
      </w:r>
    </w:p>
    <w:p w14:paraId="609B04C5" w14:textId="0EC72637" w:rsidR="004D15B9" w:rsidRPr="004D15B9" w:rsidRDefault="004D15B9" w:rsidP="004D15B9">
      <w:pPr>
        <w:tabs>
          <w:tab w:val="center" w:pos="4800"/>
          <w:tab w:val="right" w:pos="9500"/>
        </w:tabs>
        <w:spacing w:before="156" w:after="156"/>
        <w:rPr>
          <w:rFonts w:hint="eastAsia"/>
          <w:noProof/>
        </w:rPr>
      </w:pPr>
      <w:r>
        <w:rPr>
          <w:rFonts w:hint="eastAsia"/>
          <w:noProof/>
        </w:rPr>
        <w:t>PS</w:t>
      </w:r>
      <w:r>
        <w:rPr>
          <w:noProof/>
        </w:rPr>
        <w:t xml:space="preserve">: </w:t>
      </w:r>
      <w:r w:rsidRPr="005442DA">
        <w:rPr>
          <w:noProof/>
        </w:rPr>
        <w:t>The mathematical derivation process is very tedious</w:t>
      </w:r>
      <w:r>
        <w:rPr>
          <w:noProof/>
        </w:rPr>
        <w:t>.</w:t>
      </w:r>
    </w:p>
    <w:p w14:paraId="2751C692" w14:textId="20010A6A" w:rsidR="000332C3" w:rsidRPr="001D6CFC" w:rsidRDefault="000332C3" w:rsidP="000332C3">
      <w:pPr>
        <w:tabs>
          <w:tab w:val="center" w:pos="4800"/>
          <w:tab w:val="right" w:pos="9500"/>
        </w:tabs>
        <w:spacing w:before="156" w:after="156"/>
        <w:rPr>
          <w:noProof/>
        </w:rPr>
      </w:pPr>
      <w:r w:rsidRPr="001D6CFC">
        <w:rPr>
          <w:noProof/>
        </w:rPr>
        <w:t xml:space="preserve">To simplify the process, we employ GM(1,1) method. Define </w:t>
      </w:r>
      <w:r w:rsidRPr="000332C3">
        <w:rPr>
          <w:position w:val="-18"/>
        </w:rPr>
        <w:object w:dxaOrig="3660" w:dyaOrig="480" w14:anchorId="32C75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82.8pt;height:23.85pt" o:ole="">
            <v:imagedata r:id="rId4" o:title=""/>
          </v:shape>
          <o:OLEObject Type="Embed" ProgID="Equation.DSMT4" ShapeID="_x0000_i1060" DrawAspect="Content" ObjectID="_1710235798" r:id="rId5"/>
        </w:object>
      </w:r>
    </w:p>
    <w:p w14:paraId="073B8F68" w14:textId="77777777" w:rsidR="000332C3" w:rsidRPr="001D6CFC" w:rsidRDefault="000332C3" w:rsidP="000332C3">
      <w:pPr>
        <w:tabs>
          <w:tab w:val="center" w:pos="4800"/>
          <w:tab w:val="right" w:pos="9500"/>
        </w:tabs>
        <w:spacing w:before="156" w:after="156"/>
        <w:rPr>
          <w:noProof/>
        </w:rPr>
      </w:pPr>
      <w:r w:rsidRPr="001D6CFC">
        <w:rPr>
          <w:noProof/>
        </w:rPr>
        <w:t>Then, generate a new sequence through accumulation</w:t>
      </w:r>
    </w:p>
    <w:p w14:paraId="12F93D62" w14:textId="5BB58AC7" w:rsidR="000332C3" w:rsidRPr="001D6CFC" w:rsidRDefault="000332C3" w:rsidP="000332C3">
      <w:pPr>
        <w:pStyle w:val="MTDisplayEquation"/>
        <w:rPr>
          <w:noProof/>
        </w:rPr>
      </w:pPr>
      <w:r>
        <w:tab/>
      </w:r>
      <w:r w:rsidRPr="000332C3">
        <w:rPr>
          <w:position w:val="-16"/>
        </w:rPr>
        <w:object w:dxaOrig="2180" w:dyaOrig="480" w14:anchorId="18F254BB">
          <v:shape id="_x0000_i1056" type="#_x0000_t75" style="width:108.95pt;height:23.85pt" o:ole="">
            <v:imagedata r:id="rId6" o:title=""/>
          </v:shape>
          <o:OLEObject Type="Embed" ProgID="Equation.DSMT4" ShapeID="_x0000_i1056" DrawAspect="Content" ObjectID="_1710235799" r:id="rId7"/>
        </w:object>
      </w:r>
    </w:p>
    <w:p w14:paraId="7EB49FB4" w14:textId="77777777" w:rsidR="000332C3" w:rsidRPr="001D6CFC" w:rsidRDefault="000332C3" w:rsidP="000332C3">
      <w:pPr>
        <w:tabs>
          <w:tab w:val="center" w:pos="4800"/>
          <w:tab w:val="right" w:pos="9500"/>
        </w:tabs>
        <w:spacing w:before="156" w:after="156"/>
        <w:rPr>
          <w:noProof/>
        </w:rPr>
      </w:pPr>
      <w:r w:rsidRPr="001D6CFC">
        <w:rPr>
          <w:noProof/>
        </w:rPr>
        <w:t>And define</w:t>
      </w:r>
    </w:p>
    <w:p w14:paraId="725FCB0D" w14:textId="2D313A17" w:rsidR="000332C3" w:rsidRPr="001D6CFC" w:rsidRDefault="000332C3" w:rsidP="000332C3">
      <w:pPr>
        <w:pStyle w:val="MTDisplayEquation"/>
        <w:rPr>
          <w:noProof/>
        </w:rPr>
      </w:pPr>
      <w:r>
        <w:tab/>
      </w:r>
      <w:r w:rsidRPr="000332C3">
        <w:rPr>
          <w:position w:val="-18"/>
        </w:rPr>
        <w:object w:dxaOrig="3560" w:dyaOrig="480" w14:anchorId="6D53E27E">
          <v:shape id="_x0000_i1052" type="#_x0000_t75" style="width:178.15pt;height:23.85pt" o:ole="">
            <v:imagedata r:id="rId8" o:title=""/>
          </v:shape>
          <o:OLEObject Type="Embed" ProgID="Equation.DSMT4" ShapeID="_x0000_i1052" DrawAspect="Content" ObjectID="_1710235800" r:id="rId9"/>
        </w:object>
      </w:r>
    </w:p>
    <w:p w14:paraId="5FFDABEE" w14:textId="77777777" w:rsidR="000332C3" w:rsidRPr="001D6CFC" w:rsidRDefault="000332C3" w:rsidP="000332C3">
      <w:pPr>
        <w:tabs>
          <w:tab w:val="center" w:pos="4800"/>
          <w:tab w:val="right" w:pos="9500"/>
        </w:tabs>
        <w:spacing w:before="156" w:after="156"/>
        <w:rPr>
          <w:noProof/>
        </w:rPr>
      </w:pPr>
      <w:r w:rsidRPr="001D6CFC">
        <w:rPr>
          <w:noProof/>
        </w:rPr>
        <w:t>Thus, we get the differential equation</w:t>
      </w:r>
    </w:p>
    <w:p w14:paraId="21B9AD31" w14:textId="3AE478CE" w:rsidR="000332C3" w:rsidRPr="001D6CFC" w:rsidRDefault="000332C3" w:rsidP="000332C3">
      <w:pPr>
        <w:pStyle w:val="MTDisplayEquation"/>
        <w:rPr>
          <w:noProof/>
        </w:rPr>
      </w:pPr>
      <w:r>
        <w:tab/>
      </w:r>
      <w:r w:rsidRPr="000332C3">
        <w:rPr>
          <w:position w:val="-24"/>
        </w:rPr>
        <w:object w:dxaOrig="1719" w:dyaOrig="680" w14:anchorId="14F34382">
          <v:shape id="_x0000_i1048" type="#_x0000_t75" style="width:86.05pt;height:34.15pt" o:ole="">
            <v:imagedata r:id="rId10" o:title=""/>
          </v:shape>
          <o:OLEObject Type="Embed" ProgID="Equation.DSMT4" ShapeID="_x0000_i1048" DrawAspect="Content" ObjectID="_1710235801" r:id="rId11"/>
        </w:object>
      </w:r>
    </w:p>
    <w:p w14:paraId="6B360192" w14:textId="739CBAC5" w:rsidR="000332C3" w:rsidRPr="001D6CFC" w:rsidRDefault="000332C3" w:rsidP="000332C3">
      <w:pPr>
        <w:tabs>
          <w:tab w:val="center" w:pos="4800"/>
          <w:tab w:val="right" w:pos="9500"/>
        </w:tabs>
        <w:spacing w:before="156" w:after="156"/>
        <w:rPr>
          <w:noProof/>
        </w:rPr>
      </w:pPr>
      <w:r w:rsidRPr="001D6CFC">
        <w:rPr>
          <w:noProof/>
        </w:rPr>
        <w:t xml:space="preserve">where </w:t>
      </w:r>
      <w:r w:rsidRPr="000332C3">
        <w:rPr>
          <w:position w:val="-6"/>
        </w:rPr>
        <w:object w:dxaOrig="240" w:dyaOrig="220" w14:anchorId="396AC960">
          <v:shape id="_x0000_i1045" type="#_x0000_t75" style="width:12.15pt;height:11.2pt" o:ole="">
            <v:imagedata r:id="rId12" o:title=""/>
          </v:shape>
          <o:OLEObject Type="Embed" ProgID="Equation.DSMT4" ShapeID="_x0000_i1045" DrawAspect="Content" ObjectID="_1710235802" r:id="rId13"/>
        </w:object>
      </w:r>
      <w:r w:rsidRPr="001D6CFC">
        <w:rPr>
          <w:noProof/>
        </w:rPr>
        <w:t xml:space="preserve"> serves as the developing parameter, and </w:t>
      </w:r>
      <w:r w:rsidRPr="000332C3">
        <w:rPr>
          <w:position w:val="-10"/>
        </w:rPr>
        <w:object w:dxaOrig="240" w:dyaOrig="260" w14:anchorId="29DEF1BD">
          <v:shape id="_x0000_i1042" type="#_x0000_t75" style="width:12.15pt;height:13.1pt" o:ole="">
            <v:imagedata r:id="rId14" o:title=""/>
          </v:shape>
          <o:OLEObject Type="Embed" ProgID="Equation.DSMT4" ShapeID="_x0000_i1042" DrawAspect="Content" ObjectID="_1710235803" r:id="rId15"/>
        </w:object>
      </w:r>
      <w:r w:rsidRPr="001D6CFC">
        <w:rPr>
          <w:noProof/>
        </w:rPr>
        <w:t xml:space="preserve"> serves as the controlling parameter.</w:t>
      </w:r>
    </w:p>
    <w:p w14:paraId="11E736E7" w14:textId="77777777" w:rsidR="000332C3" w:rsidRPr="001D6CFC" w:rsidRDefault="000332C3" w:rsidP="000332C3">
      <w:pPr>
        <w:tabs>
          <w:tab w:val="center" w:pos="4800"/>
          <w:tab w:val="right" w:pos="9500"/>
        </w:tabs>
        <w:spacing w:before="156" w:after="156"/>
        <w:rPr>
          <w:noProof/>
        </w:rPr>
      </w:pPr>
      <w:r w:rsidRPr="001D6CFC">
        <w:rPr>
          <w:noProof/>
        </w:rPr>
        <w:t>Their ratio</w:t>
      </w:r>
    </w:p>
    <w:p w14:paraId="6E31EEF1" w14:textId="754E969D" w:rsidR="000332C3" w:rsidRPr="001D6CFC" w:rsidRDefault="000332C3" w:rsidP="000332C3">
      <w:pPr>
        <w:pStyle w:val="MTDisplayEquation"/>
        <w:rPr>
          <w:noProof/>
        </w:rPr>
      </w:pPr>
      <w:r>
        <w:tab/>
      </w:r>
      <w:r w:rsidRPr="000332C3">
        <w:rPr>
          <w:position w:val="-30"/>
        </w:rPr>
        <w:object w:dxaOrig="920" w:dyaOrig="720" w14:anchorId="61634B21">
          <v:shape id="_x0000_i1038" type="#_x0000_t75" style="width:45.8pt;height:36pt" o:ole="">
            <v:imagedata r:id="rId16" o:title=""/>
          </v:shape>
          <o:OLEObject Type="Embed" ProgID="Equation.DSMT4" ShapeID="_x0000_i1038" DrawAspect="Content" ObjectID="_1710235804" r:id="rId17"/>
        </w:object>
      </w:r>
    </w:p>
    <w:p w14:paraId="0CA88825" w14:textId="77777777" w:rsidR="000332C3" w:rsidRPr="001D6CFC" w:rsidRDefault="000332C3" w:rsidP="000332C3">
      <w:pPr>
        <w:tabs>
          <w:tab w:val="center" w:pos="4800"/>
          <w:tab w:val="right" w:pos="9500"/>
        </w:tabs>
        <w:spacing w:before="156" w:after="156"/>
        <w:rPr>
          <w:noProof/>
        </w:rPr>
      </w:pPr>
      <w:r w:rsidRPr="001D6CFC">
        <w:rPr>
          <w:noProof/>
        </w:rPr>
        <w:t xml:space="preserve">can be calculated by </w:t>
      </w:r>
      <w:r w:rsidRPr="001D6CFC">
        <w:rPr>
          <w:i/>
          <w:iCs/>
          <w:noProof/>
        </w:rPr>
        <w:t>GLS (generalized least squares)</w:t>
      </w:r>
      <w:r w:rsidRPr="001D6CFC">
        <w:rPr>
          <w:noProof/>
        </w:rPr>
        <w:t>, which refers to</w:t>
      </w:r>
    </w:p>
    <w:p w14:paraId="387B98D5" w14:textId="4349D908" w:rsidR="000332C3" w:rsidRPr="001D6CFC" w:rsidRDefault="000332C3" w:rsidP="000332C3">
      <w:pPr>
        <w:pStyle w:val="MTDisplayEquation"/>
        <w:rPr>
          <w:noProof/>
        </w:rPr>
      </w:pPr>
      <w:r>
        <w:tab/>
      </w:r>
      <w:r w:rsidRPr="000332C3">
        <w:rPr>
          <w:position w:val="-16"/>
        </w:rPr>
        <w:object w:dxaOrig="1740" w:dyaOrig="499" w14:anchorId="251C9AD9">
          <v:shape id="_x0000_i1034" type="#_x0000_t75" style="width:86.95pt;height:24.8pt" o:ole="">
            <v:imagedata r:id="rId18" o:title=""/>
          </v:shape>
          <o:OLEObject Type="Embed" ProgID="Equation.DSMT4" ShapeID="_x0000_i1034" DrawAspect="Content" ObjectID="_1710235805" r:id="rId19"/>
        </w:object>
      </w:r>
    </w:p>
    <w:p w14:paraId="78A2EF5A" w14:textId="77777777" w:rsidR="000332C3" w:rsidRPr="001D6CFC" w:rsidRDefault="000332C3" w:rsidP="000332C3">
      <w:pPr>
        <w:tabs>
          <w:tab w:val="center" w:pos="4800"/>
          <w:tab w:val="right" w:pos="9500"/>
        </w:tabs>
        <w:spacing w:before="156" w:after="156"/>
        <w:rPr>
          <w:noProof/>
        </w:rPr>
      </w:pPr>
      <w:r w:rsidRPr="001D6CFC">
        <w:rPr>
          <w:noProof/>
        </w:rPr>
        <w:t>where</w:t>
      </w:r>
    </w:p>
    <w:p w14:paraId="1DC556F1" w14:textId="3F39E357" w:rsidR="000332C3" w:rsidRDefault="000332C3" w:rsidP="000332C3">
      <w:pPr>
        <w:pStyle w:val="MTDisplayEquation"/>
        <w:rPr>
          <w:noProof/>
        </w:rPr>
      </w:pPr>
      <w:r>
        <w:lastRenderedPageBreak/>
        <w:tab/>
      </w:r>
      <w:r w:rsidRPr="000332C3">
        <w:rPr>
          <w:position w:val="-110"/>
        </w:rPr>
        <w:object w:dxaOrig="4400" w:dyaOrig="2320" w14:anchorId="227CFEC0">
          <v:shape id="_x0000_i1030" type="#_x0000_t75" style="width:220.2pt;height:115.95pt" o:ole="">
            <v:imagedata r:id="rId20" o:title=""/>
          </v:shape>
          <o:OLEObject Type="Embed" ProgID="Equation.DSMT4" ShapeID="_x0000_i1030" DrawAspect="Content" ObjectID="_1710235806" r:id="rId21"/>
        </w:object>
      </w:r>
    </w:p>
    <w:p w14:paraId="36A53025" w14:textId="77777777" w:rsidR="000332C3" w:rsidRPr="001D6CFC" w:rsidRDefault="000332C3" w:rsidP="000332C3">
      <w:pPr>
        <w:tabs>
          <w:tab w:val="center" w:pos="4800"/>
          <w:tab w:val="right" w:pos="9500"/>
        </w:tabs>
        <w:spacing w:before="156" w:after="156"/>
        <w:rPr>
          <w:noProof/>
        </w:rPr>
      </w:pPr>
      <w:r w:rsidRPr="001D6CFC">
        <w:rPr>
          <w:noProof/>
        </w:rPr>
        <w:t>Substitute</w:t>
      </w:r>
      <w:r>
        <w:rPr>
          <w:noProof/>
        </w:rPr>
        <w:t xml:space="preserve"> it</w:t>
      </w:r>
      <w:r w:rsidRPr="001D6CFC">
        <w:rPr>
          <w:noProof/>
        </w:rPr>
        <w:t xml:space="preserve"> into the former equation, we get</w:t>
      </w:r>
    </w:p>
    <w:p w14:paraId="1BB82474" w14:textId="5C03DD26" w:rsidR="004122BF" w:rsidRPr="000332C3" w:rsidRDefault="000332C3" w:rsidP="000332C3">
      <w:pPr>
        <w:pStyle w:val="MTDisplayEquation"/>
        <w:rPr>
          <w:rFonts w:hint="eastAsia"/>
          <w:i/>
          <w:noProof/>
        </w:rPr>
      </w:pPr>
      <w:bookmarkStart w:id="0" w:name="MTBlankEqn"/>
      <w:r>
        <w:tab/>
      </w:r>
      <w:r w:rsidRPr="000332C3">
        <w:rPr>
          <w:position w:val="-28"/>
        </w:rPr>
        <w:object w:dxaOrig="5000" w:dyaOrig="680" w14:anchorId="29DBAA17">
          <v:shape id="_x0000_i1026" type="#_x0000_t75" style="width:250.15pt;height:34.15pt" o:ole="">
            <v:imagedata r:id="rId22" o:title=""/>
          </v:shape>
          <o:OLEObject Type="Embed" ProgID="Equation.DSMT4" ShapeID="_x0000_i1026" DrawAspect="Content" ObjectID="_1710235807" r:id="rId23"/>
        </w:object>
      </w:r>
      <w:bookmarkEnd w:id="0"/>
    </w:p>
    <w:sectPr w:rsidR="004122BF" w:rsidRPr="00033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2C3"/>
    <w:rsid w:val="000332C3"/>
    <w:rsid w:val="00136170"/>
    <w:rsid w:val="00310FD1"/>
    <w:rsid w:val="004122BF"/>
    <w:rsid w:val="004D15B9"/>
    <w:rsid w:val="00566064"/>
    <w:rsid w:val="0071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8220"/>
  <w15:chartTrackingRefBased/>
  <w15:docId w15:val="{18CE493E-8929-4879-8ED6-ADEA9BA4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sz w:val="24"/>
        <w:szCs w:val="24"/>
        <w:lang w:val="en-US" w:eastAsia="zh-CN" w:bidi="ar-SA"/>
      </w:rPr>
    </w:rPrDefault>
    <w:pPrDefault>
      <w:pPr>
        <w:spacing w:beforeLines="50" w:before="50" w:afterLines="50" w:after="5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ConvertedEquation">
    <w:name w:val="MTConvertedEquation"/>
    <w:basedOn w:val="a0"/>
    <w:rsid w:val="000332C3"/>
    <w:rPr>
      <w:rFonts w:ascii="Cambria Math" w:hAnsi="Cambria Math"/>
      <w:i/>
      <w:noProof/>
    </w:rPr>
  </w:style>
  <w:style w:type="paragraph" w:customStyle="1" w:styleId="MTDisplayEquation">
    <w:name w:val="MTDisplayEquation"/>
    <w:basedOn w:val="a"/>
    <w:next w:val="a"/>
    <w:link w:val="MTDisplayEquation0"/>
    <w:rsid w:val="000332C3"/>
    <w:pPr>
      <w:tabs>
        <w:tab w:val="center" w:pos="4160"/>
        <w:tab w:val="right" w:pos="8300"/>
      </w:tabs>
      <w:spacing w:before="156" w:after="156"/>
    </w:pPr>
  </w:style>
  <w:style w:type="character" w:customStyle="1" w:styleId="MTDisplayEquation0">
    <w:name w:val="MTDisplayEquation 字符"/>
    <w:basedOn w:val="a0"/>
    <w:link w:val="MTDisplayEquation"/>
    <w:rsid w:val="00033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董书睿</dc:creator>
  <cp:keywords/>
  <dc:description/>
  <cp:lastModifiedBy>董书睿</cp:lastModifiedBy>
  <cp:revision>1</cp:revision>
  <dcterms:created xsi:type="dcterms:W3CDTF">2022-03-31T04:35:00Z</dcterms:created>
  <dcterms:modified xsi:type="dcterms:W3CDTF">2022-03-31T04:43:00Z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