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bs-carry-model"/>
    <w:p>
      <w:pPr>
        <w:pStyle w:val="Heading1"/>
      </w:pPr>
      <w:r>
        <w:t xml:space="preserve">MBS Carry Model</w:t>
      </w:r>
    </w:p>
    <w:bookmarkStart w:id="20" w:name="X81609995fcd5add9f9f187ffa730b061209a93d"/>
    <w:p>
      <w:pPr>
        <w:pStyle w:val="Heading2"/>
      </w:pPr>
      <w:r>
        <w:t xml:space="preserve">Accounting for Funding Costs in TBA vs. Pools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TBA Market Characteristics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Greater liquidity but introduces cheapest-to-deliver risk.</w:t>
      </w:r>
    </w:p>
    <w:p>
      <w:pPr>
        <w:pStyle w:val="Compact"/>
        <w:numPr>
          <w:ilvl w:val="1"/>
          <w:numId w:val="1002"/>
        </w:numPr>
      </w:pPr>
      <w:r>
        <w:t xml:space="preserve">Subject to roll dynamics and funding market conditions.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Specified Pools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Lower liquidity, but offer cash flow precision.</w:t>
      </w:r>
    </w:p>
    <w:p>
      <w:pPr>
        <w:pStyle w:val="Compact"/>
        <w:numPr>
          <w:ilvl w:val="1"/>
          <w:numId w:val="1003"/>
        </w:numPr>
      </w:pPr>
      <w:r>
        <w:t xml:space="preserve">Require adjustments for funding costs and potential roll financing.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Spread Adjustment Framework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  <m:r>
                <m:t>B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S</m:t>
              </m:r>
            </m:e>
            <m:sub>
              <m:r>
                <m:t>P</m:t>
              </m:r>
              <m:r>
                <m:t>o</m:t>
              </m:r>
              <m:r>
                <m:t>o</m:t>
              </m:r>
              <m:r>
                <m:t>l</m:t>
              </m:r>
              <m:r>
                <m:t>s</m:t>
              </m:r>
            </m:sub>
          </m:sSub>
          <m:r>
            <m:rPr>
              <m:sty m:val="p"/>
            </m:rPr>
            <m:t>−</m:t>
          </m:r>
          <m:r>
            <m:rPr>
              <m:nor/>
              <m:sty m:val="p"/>
            </m:rPr>
            <m:t>Funding Adjustment</m:t>
          </m:r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1"/>
          <w:numId w:val="1004"/>
        </w:numPr>
      </w:pPr>
      <w:r>
        <w:t xml:space="preserve">Funding costs are influenced by repo rates, collateral availability, and roll specialness.</w:t>
      </w:r>
    </w:p>
    <w:p>
      <w:pPr>
        <w:pStyle w:val="Compact"/>
        <w:numPr>
          <w:ilvl w:val="1"/>
          <w:numId w:val="1004"/>
        </w:numPr>
      </w:pPr>
      <w:r>
        <w:t xml:space="preserve">Elevated repo costs induce widening spreads between TBAs and pools.</w:t>
      </w:r>
    </w:p>
    <w:p>
      <w:pPr>
        <w:pStyle w:val="Compact"/>
        <w:numPr>
          <w:ilvl w:val="1"/>
          <w:numId w:val="1004"/>
        </w:numPr>
      </w:pPr>
      <w:r>
        <w:t xml:space="preserve">Empirical models for roll costs provide enhanced valuation insights.</w:t>
      </w:r>
    </w:p>
    <w:p>
      <w:pPr>
        <w:pStyle w:val="Compact"/>
        <w:numPr>
          <w:ilvl w:val="1"/>
          <w:numId w:val="1004"/>
        </w:numPr>
      </w:pPr>
      <w:r>
        <w:t xml:space="preserve">Liquidity stress scenarios should be incorporated into spread forecasting.</w:t>
      </w:r>
    </w:p>
    <w:p>
      <w:pPr>
        <w:pStyle w:val="Compact"/>
        <w:numPr>
          <w:ilvl w:val="1"/>
          <w:numId w:val="1004"/>
        </w:numPr>
      </w:pPr>
      <w:r>
        <w:t xml:space="preserve">Differential pricing should account for varying dollar roll specialness by settlement structure and security type.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