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800"/>
        <w:jc w:val="center"/>
      </w:pPr>
      <w:r>
        <w:rPr>
          <w:rFonts w:ascii="Arial" w:hAnsi="Arial"/>
          <w:b/>
          <w:color w:val="193752"/>
          <w:sz w:val="50"/>
        </w:rPr>
        <w:t>CORRECTION AND</w:t>
        <w:br/>
        <w:t>CONTAINMENT ARCHITECTURE</w:t>
      </w:r>
    </w:p>
    <w:p>
      <w:pPr>
        <w:widowControl/>
        <w:jc w:val="center"/>
      </w:pPr>
      <w:r>
        <w:rPr>
          <w:rFonts w:ascii="Arial" w:hAnsi="Arial"/>
          <w:b/>
          <w:color w:val="1B797C"/>
          <w:sz w:val="34"/>
        </w:rPr>
        <w:t>Rebuild-or-Remove Model</w:t>
      </w:r>
    </w:p>
    <w:p>
      <w:pPr>
        <w:widowControl/>
        <w:spacing w:before="360"/>
        <w:jc w:val="center"/>
      </w:pPr>
      <w:r>
        <w:rPr>
          <w:rFonts w:ascii="Arial" w:hAnsi="Arial"/>
          <w:b/>
          <w:sz w:val="24"/>
        </w:rPr>
        <w:t>By Stacey Kahns-Gray</w:t>
      </w:r>
    </w:p>
    <w:p>
      <w:pPr>
        <w:widowControl/>
        <w:jc w:val="center"/>
      </w:pPr>
      <w:r>
        <w:rPr>
          <w:rFonts w:ascii="Arial" w:hAnsi="Arial"/>
          <w:color w:val="5C656E"/>
          <w:sz w:val="20"/>
        </w:rPr>
        <w:t>Original date: 04/25/2026  |  Revised: 07/12/2026</w:t>
      </w:r>
    </w:p>
    <w:p>
      <w:pPr>
        <w:widowControl/>
      </w:pPr>
    </w:p>
    <w:tbl>
      <w:tblPr>
        <w:tblW w:type="auto" w:w="0"/>
        <w:tblLayout w:type="autofit"/>
        <w:tblLook w:firstColumn="1" w:firstRow="1" w:lastColumn="0" w:lastRow="0" w:noHBand="0" w:noVBand="1" w:val="04A0"/>
      </w:tblPr>
      <w:tblGrid>
        <w:gridCol w:w="9936"/>
      </w:tblGrid>
      <w:tr>
        <w:tc>
          <w:tcPr>
            <w:tcW w:type="dxa" w:w="9936"/>
            <w:vAlign w:val="center"/>
            <w:shd w:fill="F9ECEC"/>
            <w:tcBorders>
              <w:top w:val="single" w:sz="12" w:space="0" w:color="8B2323"/>
              <w:left w:val="single" w:sz="12" w:space="0" w:color="8B2323"/>
              <w:bottom w:val="single" w:sz="12" w:space="0" w:color="8B2323"/>
              <w:right w:val="single" w:sz="12" w:space="0" w:color="8B2323"/>
            </w:tcBorders>
          </w:tcPr>
          <w:p>
            <w:pPr>
              <w:spacing w:after="80"/>
            </w:pPr>
            <w:r>
              <w:rPr>
                <w:rFonts w:ascii="Arial" w:hAnsi="Arial"/>
                <w:b/>
                <w:color w:val="8B2323"/>
                <w:sz w:val="23"/>
              </w:rPr>
              <w:t>Core Strike</w:t>
            </w:r>
          </w:p>
          <w:p>
            <w:pPr>
              <w:spacing w:after="80" w:line="252" w:lineRule="auto"/>
            </w:pPr>
            <w:r>
              <w:rPr>
                <w:rFonts w:ascii="Arial" w:hAnsi="Arial"/>
                <w:sz w:val="20"/>
              </w:rPr>
              <w:t>The existing business model has no entitlement to continuity. It must be rebuilt so that its operating method no longer produces the injury stream, or it must be removed.</w:t>
            </w:r>
          </w:p>
          <w:p>
            <w:pPr>
              <w:spacing w:after="80" w:line="252" w:lineRule="auto"/>
            </w:pPr>
            <w:r>
              <w:rPr>
                <w:rFonts w:ascii="Arial" w:hAnsi="Arial"/>
                <w:sz w:val="20"/>
              </w:rPr>
              <w:t>If child non-access, truthful disclosure, independent oversight, enforceable exit, worker protection, demand-side interruption, full underwriting, and actor-chain disqualification make the model unprofitable, that is evidence that prior profitability depended on externalized injury.</w:t>
            </w:r>
          </w:p>
        </w:tc>
      </w:tr>
    </w:tbl>
    <w:p>
      <w:pPr>
        <w:widowControl/>
        <w:spacing w:after="20"/>
      </w:pPr>
    </w:p>
    <w:p>
      <w:pPr>
        <w:widowControl/>
      </w:pPr>
      <w:r>
        <w:br w:type="page"/>
      </w:r>
    </w:p>
    <w:p>
      <w:pPr>
        <w:pStyle w:val="Heading1"/>
        <w:widowControl/>
      </w:pPr>
      <w:r>
        <w:t>CORE POSITION</w:t>
      </w:r>
    </w:p>
    <w:tbl>
      <w:tblPr>
        <w:tblW w:type="auto" w:w="0"/>
        <w:tblLayout w:type="autofit"/>
        <w:tblLook w:firstColumn="1" w:firstRow="1" w:lastColumn="0" w:lastRow="0" w:noHBand="0" w:noVBand="1" w:val="04A0"/>
      </w:tblPr>
      <w:tblGrid>
        <w:gridCol w:w="9936"/>
      </w:tblGrid>
      <w:tr>
        <w:tc>
          <w:tcPr>
            <w:tcW w:type="dxa" w:w="9936"/>
            <w:vAlign w:val="center"/>
            <w:shd w:fill="F9ECEC"/>
            <w:tcBorders>
              <w:top w:val="single" w:sz="12" w:space="0" w:color="8B2323"/>
              <w:left w:val="single" w:sz="12" w:space="0" w:color="8B2323"/>
              <w:bottom w:val="single" w:sz="12" w:space="0" w:color="8B2323"/>
              <w:right w:val="single" w:sz="12" w:space="0" w:color="8B2323"/>
            </w:tcBorders>
          </w:tcPr>
          <w:p>
            <w:pPr>
              <w:spacing w:after="80"/>
            </w:pPr>
            <w:r>
              <w:rPr>
                <w:rFonts w:ascii="Arial" w:hAnsi="Arial"/>
                <w:b/>
                <w:color w:val="8B2323"/>
                <w:sz w:val="23"/>
              </w:rPr>
              <w:t>Rebuild-or-Remove Rule</w:t>
            </w:r>
          </w:p>
          <w:p>
            <w:pPr>
              <w:spacing w:after="80" w:line="252" w:lineRule="auto"/>
            </w:pPr>
            <w:r>
              <w:rPr>
                <w:rFonts w:ascii="Arial" w:hAnsi="Arial"/>
                <w:sz w:val="20"/>
              </w:rPr>
              <w:t>This is not a compliance-retrofit or market-preservation model. It is a business-model fitness test.</w:t>
            </w:r>
          </w:p>
          <w:p>
            <w:pPr>
              <w:spacing w:after="80" w:line="252" w:lineRule="auto"/>
            </w:pPr>
            <w:r>
              <w:rPr>
                <w:rFonts w:ascii="Arial" w:hAnsi="Arial"/>
                <w:sz w:val="20"/>
              </w:rPr>
              <w:t>The existing adult sexual reward-loop business model may continue only if it is structurally rebuilt so that child non-access, prevention before exposure, classification integrity, independent oversight, labor protections, truthful lifecycle disclosure, enforceable exit, demand-side interruption, full harm underwriting, and actor-chain disqualification are conditions of operation rather than optional safeguards.</w:t>
            </w:r>
          </w:p>
          <w:p>
            <w:pPr>
              <w:spacing w:after="80" w:line="252" w:lineRule="auto"/>
            </w:pPr>
            <w:r>
              <w:rPr>
                <w:rFonts w:ascii="Arial" w:hAnsi="Arial"/>
                <w:sz w:val="20"/>
              </w:rPr>
              <w:t>Where the model cannot operate without converting child vulnerability into future demand, converting adult vulnerability into durable supply, conditioning demand toward harmful endpoints, obscuring transaction and labor structure, externalizing injury, or controlling the intervention market, the operating model must be prohibited, withdrawn, dissolved, or replaced.</w:t>
            </w:r>
          </w:p>
          <w:p>
            <w:pPr>
              <w:spacing w:after="80" w:line="252" w:lineRule="auto"/>
            </w:pPr>
            <w:r>
              <w:rPr>
                <w:rFonts w:ascii="Arial" w:hAnsi="Arial"/>
                <w:sz w:val="20"/>
              </w:rPr>
              <w:t>This architecture therefore recognizes two lawful dispositions: complete structural reconstruction under independently enforceable duties, or removal of the business model and disqualification of the actors who preserved it.</w:t>
            </w:r>
          </w:p>
          <w:p>
            <w:pPr>
              <w:spacing w:after="80" w:line="252" w:lineRule="auto"/>
            </w:pPr>
            <w:r>
              <w:rPr>
                <w:rFonts w:ascii="Arial" w:hAnsi="Arial"/>
                <w:sz w:val="20"/>
              </w:rPr>
              <w:t>The burden is not on injured people to prove that the market deserves abolition. The burden is on the market to prove that it can operate without the operating method that created the injury population.</w:t>
            </w:r>
          </w:p>
        </w:tc>
      </w:tr>
    </w:tbl>
    <w:p>
      <w:pPr>
        <w:widowControl/>
        <w:spacing w:after="20"/>
      </w:pPr>
    </w:p>
    <w:p>
      <w:pPr>
        <w:pStyle w:val="Heading1"/>
        <w:widowControl/>
      </w:pPr>
      <w:r>
        <w:t>I. PRE-ENTRY CORRECTION</w:t>
      </w:r>
    </w:p>
    <w:p>
      <w:pPr>
        <w:pStyle w:val="Subtitle"/>
        <w:widowControl/>
        <w:spacing w:after="120"/>
      </w:pPr>
      <w:r>
        <w:rPr>
          <w:color w:val="5C656E"/>
          <w:sz w:val="23"/>
        </w:rPr>
        <w:t>Upstream Institutional Duties</w:t>
      </w:r>
    </w:p>
    <w:p>
      <w:pPr>
        <w:pStyle w:val="Heading2"/>
        <w:widowControl/>
      </w:pPr>
      <w:r>
        <w:t>A. Pre-Puberty Instruction</w:t>
      </w:r>
    </w:p>
    <w:p>
      <w:pPr>
        <w:pStyle w:val="Label"/>
        <w:widowControl/>
      </w:pPr>
      <w:r>
        <w:t>Action</w:t>
      </w:r>
    </w:p>
    <w:p>
      <w:pPr>
        <w:widowControl/>
      </w:pPr>
      <w:r>
        <w:t>Require pre-exposure biological literacy instruction covering:</w:t>
      </w:r>
    </w:p>
    <w:p>
      <w:pPr>
        <w:pStyle w:val="CompactBullet"/>
        <w:widowControl/>
      </w:pPr>
      <w:r>
        <w:t>reward loops</w:t>
      </w:r>
    </w:p>
    <w:p>
      <w:pPr>
        <w:pStyle w:val="CompactBullet"/>
        <w:widowControl/>
      </w:pPr>
      <w:r>
        <w:t>limbic vs. prefrontal mismatch</w:t>
      </w:r>
    </w:p>
    <w:p>
      <w:pPr>
        <w:pStyle w:val="CompactBullet"/>
        <w:widowControl/>
      </w:pPr>
      <w:r>
        <w:t>validation as signal vs. value</w:t>
      </w:r>
    </w:p>
    <w:p>
      <w:pPr>
        <w:pStyle w:val="CompactBullet"/>
        <w:widowControl/>
      </w:pPr>
      <w:r>
        <w:t>reward-now / cost-later dynamics</w:t>
      </w:r>
    </w:p>
    <w:p>
      <w:pPr>
        <w:pStyle w:val="CompactBullet"/>
        <w:widowControl/>
      </w:pPr>
      <w:r>
        <w:t>sexualized attention as a classification event</w:t>
      </w:r>
    </w:p>
    <w:p>
      <w:pPr>
        <w:pStyle w:val="CompactBullet"/>
        <w:widowControl/>
      </w:pPr>
      <w:r>
        <w:t>peer labeling and reputational formation</w:t>
      </w:r>
    </w:p>
    <w:p>
      <w:pPr>
        <w:pStyle w:val="CompactBullet"/>
        <w:widowControl/>
      </w:pPr>
      <w:r>
        <w:t>market systems that convert vulnerability into participation</w:t>
      </w:r>
    </w:p>
    <w:p>
      <w:pPr>
        <w:pStyle w:val="Label"/>
        <w:widowControl/>
      </w:pPr>
      <w:r>
        <w:t>Effect</w:t>
      </w:r>
    </w:p>
    <w:p>
      <w:pPr>
        <w:widowControl/>
      </w:pPr>
      <w:r>
        <w:t>Converts instinct into decision-usable understanding.</w:t>
      </w:r>
    </w:p>
    <w:p>
      <w:pPr>
        <w:widowControl/>
      </w:pPr>
      <w:r>
        <w:t>Reduces entry under misinterpreted signals.</w:t>
      </w:r>
    </w:p>
    <w:p>
      <w:pPr>
        <w:widowControl/>
      </w:pPr>
      <w:r>
        <w:t>Establishes internal classification awareness before external labeling occurs.</w:t>
      </w:r>
    </w:p>
    <w:p>
      <w:pPr>
        <w:pStyle w:val="Label"/>
        <w:widowControl/>
      </w:pPr>
      <w:r>
        <w:t>Rationale</w:t>
      </w:r>
    </w:p>
    <w:p>
      <w:pPr>
        <w:widowControl/>
      </w:pPr>
      <w:r>
        <w:t>Known developmental mismatch exists, but institutions do not consistently translate that knowledge into safeguards.</w:t>
      </w:r>
    </w:p>
    <w:p>
      <w:pPr>
        <w:widowControl/>
      </w:pPr>
      <w:r>
        <w:t>Instruction is sex-aware in outcome but not restrictive in application. The goal is risk translation, not behavioral limitation.</w:t>
      </w:r>
    </w:p>
    <w:p>
      <w:pPr>
        <w:pStyle w:val="Heading1"/>
        <w:widowControl/>
      </w:pPr>
      <w:r>
        <w:t>II. CLASSIFICATION CONTAINMENT</w:t>
      </w:r>
    </w:p>
    <w:p>
      <w:pPr>
        <w:pStyle w:val="Subtitle"/>
        <w:widowControl/>
        <w:spacing w:after="120"/>
      </w:pPr>
      <w:r>
        <w:rPr>
          <w:color w:val="5C656E"/>
          <w:sz w:val="23"/>
        </w:rPr>
        <w:t>Foundational Institutional Control</w:t>
      </w:r>
    </w:p>
    <w:p>
      <w:pPr>
        <w:pStyle w:val="Label"/>
        <w:widowControl/>
      </w:pPr>
      <w:r>
        <w:t>Action</w:t>
      </w:r>
    </w:p>
    <w:p>
      <w:pPr>
        <w:widowControl/>
      </w:pPr>
      <w:r>
        <w:t>Require institutional frameworks to:</w:t>
      </w:r>
    </w:p>
    <w:p>
      <w:pPr>
        <w:pStyle w:val="CompactBullet"/>
        <w:widowControl/>
      </w:pPr>
      <w:r>
        <w:t>define sexualized attention as a classification trigger</w:t>
      </w:r>
    </w:p>
    <w:p>
      <w:pPr>
        <w:pStyle w:val="CompactBullet"/>
        <w:widowControl/>
      </w:pPr>
      <w:r>
        <w:t>establish staff-level intake standards for early-stage signals</w:t>
      </w:r>
    </w:p>
    <w:p>
      <w:pPr>
        <w:pStyle w:val="CompactBullet"/>
        <w:widowControl/>
      </w:pPr>
      <w:r>
        <w:t>require classification at first observation, not first report</w:t>
      </w:r>
    </w:p>
    <w:p>
      <w:pPr>
        <w:pStyle w:val="CompactBullet"/>
        <w:widowControl/>
      </w:pPr>
      <w:r>
        <w:t>prevent routing into non-harm categories such as “teasing,” “play,” “peer behavior,” or “drama”</w:t>
      </w:r>
    </w:p>
    <w:p>
      <w:pPr>
        <w:pStyle w:val="CompactBullet"/>
        <w:widowControl/>
      </w:pPr>
      <w:r>
        <w:t>preserve early records before escalation becomes visible</w:t>
      </w:r>
    </w:p>
    <w:p>
      <w:pPr>
        <w:pStyle w:val="CompactBullet"/>
        <w:widowControl/>
      </w:pPr>
      <w:r>
        <w:t>aggregate repeated signals across students, settings, platforms, devices, and school-linked activities</w:t>
      </w:r>
    </w:p>
    <w:p>
      <w:pPr>
        <w:pStyle w:val="Label"/>
        <w:widowControl/>
      </w:pPr>
      <w:r>
        <w:t>Effect</w:t>
      </w:r>
    </w:p>
    <w:p>
      <w:pPr>
        <w:widowControl/>
      </w:pPr>
      <w:r>
        <w:t>Preserves record formation.</w:t>
      </w:r>
    </w:p>
    <w:p>
      <w:pPr>
        <w:widowControl/>
      </w:pPr>
      <w:r>
        <w:t>Enables aggregation and pattern visibility.</w:t>
      </w:r>
    </w:p>
    <w:p>
      <w:pPr>
        <w:widowControl/>
      </w:pPr>
      <w:r>
        <w:t>Establishes early institutional knowledge.</w:t>
      </w:r>
    </w:p>
    <w:p>
      <w:pPr>
        <w:widowControl/>
      </w:pPr>
      <w:r>
        <w:t>Prevents classification blockade.</w:t>
      </w:r>
    </w:p>
    <w:p>
      <w:pPr>
        <w:pStyle w:val="Label"/>
        <w:widowControl/>
      </w:pPr>
      <w:r>
        <w:t>Rationale</w:t>
      </w:r>
    </w:p>
    <w:p>
      <w:pPr>
        <w:widowControl/>
      </w:pPr>
      <w:r>
        <w:t>Where classification is not controlled at the signal stage, harm remains legally and institutionally invisible despite continuous occurrence.</w:t>
      </w:r>
    </w:p>
    <w:p>
      <w:pPr>
        <w:widowControl/>
      </w:pPr>
      <w:r>
        <w:t>The institution cannot claim ignorance after it failed to classify the signal that created knowledge.</w:t>
      </w:r>
    </w:p>
    <w:p>
      <w:pPr>
        <w:pStyle w:val="Heading1"/>
        <w:widowControl/>
      </w:pPr>
      <w:r>
        <w:t>III. CLASSIFICATION ACKNOWLEDGMENT</w:t>
      </w:r>
    </w:p>
    <w:p>
      <w:pPr>
        <w:pStyle w:val="Subtitle"/>
        <w:widowControl/>
        <w:spacing w:after="120"/>
      </w:pPr>
      <w:r>
        <w:rPr>
          <w:color w:val="5C656E"/>
          <w:sz w:val="23"/>
        </w:rPr>
        <w:t>Condition for Use of Corrective Measures</w:t>
      </w:r>
    </w:p>
    <w:p>
      <w:pPr>
        <w:pStyle w:val="Label"/>
        <w:widowControl/>
      </w:pPr>
      <w:r>
        <w:t>Condition for Use</w:t>
      </w:r>
    </w:p>
    <w:p>
      <w:pPr>
        <w:widowControl/>
      </w:pPr>
      <w:r>
        <w:t>Use of corrective measures at the classification stage requires formal acknowledgment that prior conduct may have been misclassified at intake.</w:t>
      </w:r>
    </w:p>
    <w:p>
      <w:pPr>
        <w:pStyle w:val="Label"/>
        <w:widowControl/>
      </w:pPr>
      <w:r>
        <w:t>Required Institutional Position</w:t>
      </w:r>
    </w:p>
    <w:p>
      <w:pPr>
        <w:widowControl/>
      </w:pPr>
      <w:r>
        <w:t>The institution must confirm that:</w:t>
      </w:r>
    </w:p>
    <w:p>
      <w:pPr>
        <w:pStyle w:val="CompactBullet"/>
        <w:widowControl/>
      </w:pPr>
      <w:r>
        <w:t>early-stage conduct may have been routed into non-harm categories</w:t>
      </w:r>
    </w:p>
    <w:p>
      <w:pPr>
        <w:pStyle w:val="CompactBullet"/>
        <w:widowControl/>
      </w:pPr>
      <w:r>
        <w:t>sex-based interpretation may not have been applied at first observation</w:t>
      </w:r>
    </w:p>
    <w:p>
      <w:pPr>
        <w:pStyle w:val="CompactBullet"/>
        <w:widowControl/>
      </w:pPr>
      <w:r>
        <w:t>classification standards at intake did not consistently reflect Title IX or sex-based harm requirements</w:t>
      </w:r>
    </w:p>
    <w:p>
      <w:pPr>
        <w:pStyle w:val="CompactBullet"/>
        <w:widowControl/>
      </w:pPr>
      <w:r>
        <w:t>prior non-classification may have prevented record formation and pattern visibility</w:t>
      </w:r>
    </w:p>
    <w:p>
      <w:pPr>
        <w:pStyle w:val="Label"/>
        <w:widowControl/>
      </w:pPr>
      <w:r>
        <w:t>Action Requirement</w:t>
      </w:r>
    </w:p>
    <w:p>
      <w:pPr>
        <w:widowControl/>
      </w:pPr>
      <w:r>
        <w:t>Before implementing forward-looking corrections, the institution must:</w:t>
      </w:r>
    </w:p>
    <w:p>
      <w:pPr>
        <w:pStyle w:val="CompactBullet"/>
        <w:widowControl/>
      </w:pPr>
      <w:r>
        <w:t>issue written clarification of classification standards at intake</w:t>
      </w:r>
    </w:p>
    <w:p>
      <w:pPr>
        <w:pStyle w:val="CompactBullet"/>
        <w:widowControl/>
      </w:pPr>
      <w:r>
        <w:t>confirm that classification occurs at first observation, not first report</w:t>
      </w:r>
    </w:p>
    <w:p>
      <w:pPr>
        <w:pStyle w:val="CompactBullet"/>
        <w:widowControl/>
      </w:pPr>
      <w:r>
        <w:t>apply corrected classification standards to current and ongoing cases</w:t>
      </w:r>
    </w:p>
    <w:p>
      <w:pPr>
        <w:pStyle w:val="CompactBullet"/>
        <w:widowControl/>
      </w:pPr>
      <w:r>
        <w:t>preserve records of prior routing failures where available</w:t>
      </w:r>
    </w:p>
    <w:p>
      <w:pPr>
        <w:pStyle w:val="Label"/>
        <w:widowControl/>
      </w:pPr>
      <w:r>
        <w:t>Functional Effect</w:t>
      </w:r>
    </w:p>
    <w:p>
      <w:pPr>
        <w:widowControl/>
      </w:pPr>
      <w:r>
        <w:t>Prevents prospective-only compliance without retrospective acknowledgment.</w:t>
      </w:r>
    </w:p>
    <w:p>
      <w:pPr>
        <w:widowControl/>
      </w:pPr>
      <w:r>
        <w:t>Aligns corrective action with the actual mechanism failure.</w:t>
      </w:r>
    </w:p>
    <w:p>
      <w:pPr>
        <w:widowControl/>
      </w:pPr>
      <w:r>
        <w:t>Preserves integrity of record formation going forward.</w:t>
      </w:r>
    </w:p>
    <w:p>
      <w:pPr>
        <w:pStyle w:val="Heading1"/>
        <w:widowControl/>
      </w:pPr>
      <w:r>
        <w:t>IV. MARKET ENTRY CONDITION CORRECTION</w:t>
      </w:r>
    </w:p>
    <w:p>
      <w:pPr>
        <w:pStyle w:val="Subtitle"/>
        <w:widowControl/>
        <w:spacing w:after="120"/>
      </w:pPr>
      <w:r>
        <w:rPr>
          <w:color w:val="5C656E"/>
          <w:sz w:val="23"/>
        </w:rPr>
        <w:t>Platform and Sexual-Market Duties</w:t>
      </w:r>
    </w:p>
    <w:p>
      <w:pPr>
        <w:pStyle w:val="Heading2"/>
        <w:widowControl/>
      </w:pPr>
      <w:r>
        <w:t>Mandatory Outcome Disclosure</w:t>
      </w:r>
    </w:p>
    <w:p>
      <w:pPr>
        <w:pStyle w:val="Label"/>
        <w:widowControl/>
      </w:pPr>
      <w:r>
        <w:t>Action</w:t>
      </w:r>
    </w:p>
    <w:p>
      <w:pPr>
        <w:widowControl/>
      </w:pPr>
      <w:r>
        <w:t>Require disclosure of:</w:t>
      </w:r>
    </w:p>
    <w:p>
      <w:pPr>
        <w:pStyle w:val="CompactBullet"/>
        <w:widowControl/>
      </w:pPr>
      <w:r>
        <w:t>median earnings</w:t>
      </w:r>
    </w:p>
    <w:p>
      <w:pPr>
        <w:pStyle w:val="CompactBullet"/>
        <w:widowControl/>
      </w:pPr>
      <w:r>
        <w:t>earnings distribution</w:t>
      </w:r>
    </w:p>
    <w:p>
      <w:pPr>
        <w:pStyle w:val="CompactBullet"/>
        <w:widowControl/>
      </w:pPr>
      <w:r>
        <w:t>attrition rates</w:t>
      </w:r>
    </w:p>
    <w:p>
      <w:pPr>
        <w:pStyle w:val="CompactBullet"/>
        <w:widowControl/>
      </w:pPr>
      <w:r>
        <w:t>lifecycle duration</w:t>
      </w:r>
    </w:p>
    <w:p>
      <w:pPr>
        <w:pStyle w:val="CompactBullet"/>
        <w:widowControl/>
      </w:pPr>
      <w:r>
        <w:t>reputational persistence</w:t>
      </w:r>
    </w:p>
    <w:p>
      <w:pPr>
        <w:pStyle w:val="CompactBullet"/>
        <w:widowControl/>
      </w:pPr>
      <w:r>
        <w:t>content persistence</w:t>
      </w:r>
    </w:p>
    <w:p>
      <w:pPr>
        <w:pStyle w:val="CompactBullet"/>
        <w:widowControl/>
      </w:pPr>
      <w:r>
        <w:t>identity-linkage risk</w:t>
      </w:r>
    </w:p>
    <w:p>
      <w:pPr>
        <w:pStyle w:val="CompactBullet"/>
        <w:widowControl/>
      </w:pPr>
      <w:r>
        <w:t>escalation pressure over time</w:t>
      </w:r>
    </w:p>
    <w:p>
      <w:pPr>
        <w:pStyle w:val="CompactBullet"/>
        <w:widowControl/>
      </w:pPr>
      <w:r>
        <w:t>visibility requirements to maintain income</w:t>
      </w:r>
    </w:p>
    <w:p>
      <w:pPr>
        <w:pStyle w:val="CompactBullet"/>
        <w:widowControl/>
      </w:pPr>
      <w:r>
        <w:t>downstream effects on future work, relationships, housing, education, and safety</w:t>
      </w:r>
    </w:p>
    <w:p>
      <w:pPr>
        <w:pStyle w:val="Label"/>
        <w:widowControl/>
      </w:pPr>
      <w:r>
        <w:t>Effect</w:t>
      </w:r>
    </w:p>
    <w:p>
      <w:pPr>
        <w:widowControl/>
      </w:pPr>
      <w:r>
        <w:t>Converts unknown risk into decision-usable information.</w:t>
      </w:r>
    </w:p>
    <w:p>
      <w:pPr>
        <w:widowControl/>
      </w:pPr>
      <w:r>
        <w:t>Enables probability-based evaluation before exposure.</w:t>
      </w:r>
    </w:p>
    <w:p>
      <w:pPr>
        <w:widowControl/>
      </w:pPr>
      <w:r>
        <w:t>Prevents aspiration-driven entry from substituting for informed participation.</w:t>
      </w:r>
    </w:p>
    <w:p>
      <w:pPr>
        <w:pStyle w:val="Label"/>
        <w:widowControl/>
      </w:pPr>
      <w:r>
        <w:t>Rationale</w:t>
      </w:r>
    </w:p>
    <w:p>
      <w:pPr>
        <w:widowControl/>
      </w:pPr>
      <w:r>
        <w:t>Absence of supply-side outcome data prevents informed consent.</w:t>
      </w:r>
    </w:p>
    <w:p>
      <w:pPr>
        <w:widowControl/>
      </w:pPr>
      <w:r>
        <w:t>A market that tracks engagement, ranking, pricing, traffic, conversion, and retention cannot claim it lacks enough information to disclose lifecycle risk.</w:t>
      </w:r>
    </w:p>
    <w:p>
      <w:pPr>
        <w:pStyle w:val="Heading2"/>
        <w:widowControl/>
      </w:pPr>
      <w:r>
        <w:t>Cooling-Off / Activation Delay</w:t>
      </w:r>
    </w:p>
    <w:p>
      <w:pPr>
        <w:pStyle w:val="Label"/>
        <w:widowControl/>
      </w:pPr>
      <w:r>
        <w:t>Action</w:t>
      </w:r>
    </w:p>
    <w:p>
      <w:pPr>
        <w:widowControl/>
      </w:pPr>
      <w:r>
        <w:t>Introduce a mandatory 24–72 hour delay before any public, monetized, searchable, or externally promoted exposure.</w:t>
      </w:r>
    </w:p>
    <w:p>
      <w:pPr>
        <w:widowControl/>
      </w:pPr>
      <w:r>
        <w:t>Before activation, require exposure to:</w:t>
      </w:r>
    </w:p>
    <w:p>
      <w:pPr>
        <w:pStyle w:val="CompactBullet"/>
        <w:widowControl/>
      </w:pPr>
      <w:r>
        <w:t>lifecycle outcome data</w:t>
      </w:r>
    </w:p>
    <w:p>
      <w:pPr>
        <w:pStyle w:val="CompactBullet"/>
        <w:widowControl/>
      </w:pPr>
      <w:r>
        <w:t>risk models</w:t>
      </w:r>
    </w:p>
    <w:p>
      <w:pPr>
        <w:pStyle w:val="CompactBullet"/>
        <w:widowControl/>
      </w:pPr>
      <w:r>
        <w:t>reward-loop concepts</w:t>
      </w:r>
    </w:p>
    <w:p>
      <w:pPr>
        <w:pStyle w:val="CompactBullet"/>
        <w:widowControl/>
      </w:pPr>
      <w:r>
        <w:t>reputational persistence warnings</w:t>
      </w:r>
    </w:p>
    <w:p>
      <w:pPr>
        <w:pStyle w:val="CompactBullet"/>
        <w:widowControl/>
      </w:pPr>
      <w:r>
        <w:t>escalation-pressure disclosures</w:t>
      </w:r>
    </w:p>
    <w:p>
      <w:pPr>
        <w:pStyle w:val="CompactBullet"/>
        <w:widowControl/>
      </w:pPr>
      <w:r>
        <w:t>identity separation options</w:t>
      </w:r>
    </w:p>
    <w:p>
      <w:pPr>
        <w:pStyle w:val="CompactBullet"/>
        <w:widowControl/>
      </w:pPr>
      <w:r>
        <w:t>exit and suppression rights</w:t>
      </w:r>
    </w:p>
    <w:p>
      <w:pPr>
        <w:pStyle w:val="Label"/>
        <w:widowControl/>
      </w:pPr>
      <w:r>
        <w:t>Effect</w:t>
      </w:r>
    </w:p>
    <w:p>
      <w:pPr>
        <w:widowControl/>
      </w:pPr>
      <w:r>
        <w:t>Disrupts reward-loop-driven entry.</w:t>
      </w:r>
    </w:p>
    <w:p>
      <w:pPr>
        <w:widowControl/>
      </w:pPr>
      <w:r>
        <w:t>Restores an evaluation window.</w:t>
      </w:r>
    </w:p>
    <w:p>
      <w:pPr>
        <w:widowControl/>
      </w:pPr>
      <w:r>
        <w:t>Separates decision from immediate validation, attention, money, or ranking reward.</w:t>
      </w:r>
    </w:p>
    <w:p>
      <w:pPr>
        <w:pStyle w:val="Label"/>
        <w:widowControl/>
      </w:pPr>
      <w:r>
        <w:t>Rationale</w:t>
      </w:r>
    </w:p>
    <w:p>
      <w:pPr>
        <w:widowControl/>
      </w:pPr>
      <w:r>
        <w:t>Reward dominance occurs before risk evaluation.</w:t>
      </w:r>
    </w:p>
    <w:p>
      <w:pPr>
        <w:widowControl/>
      </w:pPr>
      <w:r>
        <w:t>The market should not be allowed to convert temporary vulnerability into durable exposure before the participant has decision-usable information.</w:t>
      </w:r>
    </w:p>
    <w:p>
      <w:pPr>
        <w:pStyle w:val="Heading1"/>
        <w:widowControl/>
      </w:pPr>
      <w:r>
        <w:t>V. DEMAND-SIDE CONDITIONING CORRECTION</w:t>
      </w:r>
    </w:p>
    <w:p>
      <w:pPr>
        <w:pStyle w:val="Subtitle"/>
        <w:widowControl/>
        <w:spacing w:after="120"/>
      </w:pPr>
      <w:r>
        <w:rPr>
          <w:color w:val="5C656E"/>
          <w:sz w:val="23"/>
        </w:rPr>
        <w:t>Reward-Loop Training Is Not Nature</w:t>
      </w:r>
    </w:p>
    <w:p>
      <w:pPr>
        <w:pStyle w:val="Label"/>
        <w:widowControl/>
      </w:pPr>
      <w:r>
        <w:t>Action</w:t>
      </w:r>
    </w:p>
    <w:p>
      <w:pPr>
        <w:widowControl/>
      </w:pPr>
      <w:r>
        <w:t>Require sexual reward-loop platforms and adult-market actors to identify, report, and prevent design systems that condition demand toward:</w:t>
      </w:r>
    </w:p>
    <w:p>
      <w:pPr>
        <w:pStyle w:val="CompactBullet"/>
        <w:widowControl/>
      </w:pPr>
      <w:r>
        <w:t>youth-coded categories</w:t>
      </w:r>
    </w:p>
    <w:p>
      <w:pPr>
        <w:pStyle w:val="CompactBullet"/>
        <w:widowControl/>
      </w:pPr>
      <w:r>
        <w:t>degradation</w:t>
      </w:r>
    </w:p>
    <w:p>
      <w:pPr>
        <w:pStyle w:val="CompactBullet"/>
        <w:widowControl/>
      </w:pPr>
      <w:r>
        <w:t>disposability</w:t>
      </w:r>
    </w:p>
    <w:p>
      <w:pPr>
        <w:pStyle w:val="CompactBullet"/>
        <w:widowControl/>
      </w:pPr>
      <w:r>
        <w:t>violence tolerance</w:t>
      </w:r>
    </w:p>
    <w:p>
      <w:pPr>
        <w:pStyle w:val="CompactBullet"/>
        <w:widowControl/>
      </w:pPr>
      <w:r>
        <w:t>boundary collapse</w:t>
      </w:r>
    </w:p>
    <w:p>
      <w:pPr>
        <w:pStyle w:val="CompactBullet"/>
        <w:widowControl/>
      </w:pPr>
      <w:r>
        <w:t>escalation dependency</w:t>
      </w:r>
    </w:p>
    <w:p>
      <w:pPr>
        <w:pStyle w:val="CompactBullet"/>
        <w:widowControl/>
      </w:pPr>
      <w:r>
        <w:t>novelty compulsion</w:t>
      </w:r>
    </w:p>
    <w:p>
      <w:pPr>
        <w:pStyle w:val="CompactBullet"/>
        <w:widowControl/>
      </w:pPr>
      <w:r>
        <w:t>search normalization of harmful endpoints</w:t>
      </w:r>
    </w:p>
    <w:p>
      <w:pPr>
        <w:pStyle w:val="CompactBullet"/>
        <w:widowControl/>
      </w:pPr>
      <w:r>
        <w:t>sexual arousal paired with humiliation, coercion, or injury-coded material</w:t>
      </w:r>
    </w:p>
    <w:p>
      <w:pPr>
        <w:pStyle w:val="Label"/>
        <w:widowControl/>
      </w:pPr>
      <w:r>
        <w:t>Effect</w:t>
      </w:r>
    </w:p>
    <w:p>
      <w:pPr>
        <w:widowControl/>
      </w:pPr>
      <w:r>
        <w:t>Stops the market from treating conditioned demand as natural baseline.</w:t>
      </w:r>
    </w:p>
    <w:p>
      <w:pPr>
        <w:widowControl/>
      </w:pPr>
      <w:r>
        <w:t>Prevents the actor chain from using downstream participation as evidence that the endpoint was freely chosen, inevitable, consensual, or legitimate.</w:t>
      </w:r>
    </w:p>
    <w:p>
      <w:pPr>
        <w:widowControl/>
      </w:pPr>
      <w:r>
        <w:t>Creates a duty to interrupt escalation before the market converts it into a monetized category.</w:t>
      </w:r>
    </w:p>
    <w:p>
      <w:pPr>
        <w:pStyle w:val="Label"/>
        <w:widowControl/>
      </w:pPr>
      <w:r>
        <w:t>Rationale</w:t>
      </w:r>
    </w:p>
    <w:p>
      <w:pPr>
        <w:widowControl/>
      </w:pPr>
      <w:r>
        <w:t>The adult sexual reward-loop actor chain cannot use demand formed inside its own reward-loop architecture as evidence of prior, natural, stable, or legitimate demand.</w:t>
      </w:r>
    </w:p>
    <w:p>
      <w:pPr>
        <w:widowControl/>
      </w:pPr>
      <w:r>
        <w:t>It built searchable, repeatable, measurable, ranked, recommended, and monetized pathways that trained demand over time.</w:t>
      </w:r>
    </w:p>
    <w:p>
      <w:pPr>
        <w:widowControl/>
      </w:pPr>
      <w:r>
        <w:t>The conditioned endpoint cannot be used as proof of original consent.</w:t>
      </w:r>
    </w:p>
    <w:p>
      <w:pPr>
        <w:pStyle w:val="Heading1"/>
        <w:widowControl/>
      </w:pPr>
      <w:r>
        <w:t>VI. SYSTEM STRUCTURE CORRECTION</w:t>
      </w:r>
    </w:p>
    <w:p>
      <w:pPr>
        <w:pStyle w:val="Subtitle"/>
        <w:widowControl/>
        <w:spacing w:after="120"/>
      </w:pPr>
      <w:r>
        <w:rPr>
          <w:color w:val="5C656E"/>
          <w:sz w:val="23"/>
        </w:rPr>
        <w:t>Labor, Role, and Transaction Clarity</w:t>
      </w:r>
    </w:p>
    <w:p>
      <w:pPr>
        <w:pStyle w:val="Heading2"/>
        <w:widowControl/>
      </w:pPr>
      <w:r>
        <w:t>Comparative Model Alignment</w:t>
      </w:r>
    </w:p>
    <w:p>
      <w:pPr>
        <w:pStyle w:val="Label"/>
        <w:widowControl/>
      </w:pPr>
      <w:r>
        <w:t>Action</w:t>
      </w:r>
    </w:p>
    <w:p>
      <w:pPr>
        <w:widowControl/>
      </w:pPr>
      <w:r>
        <w:t>Introduce structural elements that exist in legitimate performance and labor systems:</w:t>
      </w:r>
    </w:p>
    <w:p>
      <w:pPr>
        <w:pStyle w:val="CompactBullet"/>
        <w:widowControl/>
      </w:pPr>
      <w:r>
        <w:t>labor clarity</w:t>
      </w:r>
    </w:p>
    <w:p>
      <w:pPr>
        <w:pStyle w:val="CompactBullet"/>
        <w:widowControl/>
      </w:pPr>
      <w:r>
        <w:t>role vs. identity separation</w:t>
      </w:r>
    </w:p>
    <w:p>
      <w:pPr>
        <w:pStyle w:val="CompactBullet"/>
        <w:widowControl/>
      </w:pPr>
      <w:r>
        <w:t>defined compensation pathways</w:t>
      </w:r>
    </w:p>
    <w:p>
      <w:pPr>
        <w:pStyle w:val="CompactBullet"/>
        <w:widowControl/>
      </w:pPr>
      <w:r>
        <w:t>contractual expectations</w:t>
      </w:r>
    </w:p>
    <w:p>
      <w:pPr>
        <w:pStyle w:val="CompactBullet"/>
        <w:widowControl/>
      </w:pPr>
      <w:r>
        <w:t>hazard notices</w:t>
      </w:r>
    </w:p>
    <w:p>
      <w:pPr>
        <w:pStyle w:val="CompactBullet"/>
        <w:widowControl/>
      </w:pPr>
      <w:r>
        <w:t>dispute mechanisms</w:t>
      </w:r>
    </w:p>
    <w:p>
      <w:pPr>
        <w:pStyle w:val="CompactBullet"/>
        <w:widowControl/>
      </w:pPr>
      <w:r>
        <w:t>exit rights</w:t>
      </w:r>
    </w:p>
    <w:p>
      <w:pPr>
        <w:pStyle w:val="CompactBullet"/>
        <w:widowControl/>
      </w:pPr>
      <w:r>
        <w:t>identity-protection rules</w:t>
      </w:r>
    </w:p>
    <w:p>
      <w:pPr>
        <w:pStyle w:val="CompactBullet"/>
        <w:widowControl/>
      </w:pPr>
      <w:r>
        <w:t>occupational-risk accounting</w:t>
      </w:r>
    </w:p>
    <w:p>
      <w:pPr>
        <w:pStyle w:val="CompactBullet"/>
        <w:widowControl/>
      </w:pPr>
      <w:r>
        <w:t>retirement structure</w:t>
      </w:r>
    </w:p>
    <w:p>
      <w:pPr>
        <w:pStyle w:val="Label"/>
        <w:widowControl/>
      </w:pPr>
      <w:r>
        <w:t>Effect</w:t>
      </w:r>
    </w:p>
    <w:p>
      <w:pPr>
        <w:widowControl/>
      </w:pPr>
      <w:r>
        <w:t>Moves the system from aspiration-driven entry to structure-driven participation.</w:t>
      </w:r>
    </w:p>
    <w:p>
      <w:pPr>
        <w:widowControl/>
      </w:pPr>
      <w:r>
        <w:t>Reduces identity collapse and classification instability.</w:t>
      </w:r>
    </w:p>
    <w:p>
      <w:pPr>
        <w:widowControl/>
      </w:pPr>
      <w:r>
        <w:t>Prevents the market from selling participation as empowerment while refusing the protections that legitimate labor would require.</w:t>
      </w:r>
    </w:p>
    <w:p>
      <w:pPr>
        <w:pStyle w:val="Label"/>
        <w:widowControl/>
      </w:pPr>
      <w:r>
        <w:t>Rationale</w:t>
      </w:r>
    </w:p>
    <w:p>
      <w:pPr>
        <w:widowControl/>
      </w:pPr>
      <w:r>
        <w:t>Aspiration without structure produces distorted entry conditions.</w:t>
      </w:r>
    </w:p>
    <w:p>
      <w:pPr>
        <w:widowControl/>
      </w:pPr>
      <w:r>
        <w:t>A legitimate job protects the worker from customer demand. It does not require the worker to absorb the risk stream created by the market.</w:t>
      </w:r>
    </w:p>
    <w:p>
      <w:pPr>
        <w:pStyle w:val="Heading2"/>
        <w:widowControl/>
      </w:pPr>
      <w:r>
        <w:t>Intent-Based Transaction Disclosure</w:t>
      </w:r>
    </w:p>
    <w:p>
      <w:pPr>
        <w:pStyle w:val="Label"/>
        <w:widowControl/>
      </w:pPr>
      <w:r>
        <w:t>Action</w:t>
      </w:r>
    </w:p>
    <w:p>
      <w:pPr>
        <w:widowControl/>
      </w:pPr>
      <w:r>
        <w:t>Where sexual use is intended, payment functions as required disclosure.</w:t>
      </w:r>
    </w:p>
    <w:p>
      <w:pPr>
        <w:pStyle w:val="Label"/>
        <w:widowControl/>
      </w:pPr>
      <w:r>
        <w:t>Effect</w:t>
      </w:r>
    </w:p>
    <w:p>
      <w:pPr>
        <w:widowControl/>
      </w:pPr>
      <w:r>
        <w:t>Restores transaction recognition at entry.</w:t>
      </w:r>
    </w:p>
    <w:p>
      <w:pPr>
        <w:widowControl/>
      </w:pPr>
      <w:r>
        <w:t>Reduces reliance on ambiguity as a structural requirement.</w:t>
      </w:r>
    </w:p>
    <w:p>
      <w:pPr>
        <w:widowControl/>
      </w:pPr>
      <w:r>
        <w:t>Allows performance to exist as performance rather than required misrepresentation.</w:t>
      </w:r>
    </w:p>
    <w:p>
      <w:pPr>
        <w:pStyle w:val="Label"/>
        <w:widowControl/>
      </w:pPr>
      <w:r>
        <w:t>Rationale</w:t>
      </w:r>
    </w:p>
    <w:p>
      <w:pPr>
        <w:widowControl/>
      </w:pPr>
      <w:r>
        <w:t>Transaction obfuscation weakens risk recognition at entry.</w:t>
      </w:r>
    </w:p>
    <w:p>
      <w:pPr>
        <w:widowControl/>
      </w:pPr>
      <w:r>
        <w:t>A market cannot benefit from sexual-use intent while hiding the transaction structure from the person bearing the reputational, bodily, and social cost.</w:t>
      </w:r>
    </w:p>
    <w:p>
      <w:pPr>
        <w:pStyle w:val="Heading1"/>
        <w:widowControl/>
      </w:pPr>
      <w:r>
        <w:t>VII. HAZARD CLASSIFICATION FRAMEWORK</w:t>
      </w:r>
    </w:p>
    <w:p>
      <w:pPr>
        <w:pStyle w:val="Subtitle"/>
        <w:widowControl/>
        <w:spacing w:after="120"/>
      </w:pPr>
      <w:r>
        <w:rPr>
          <w:color w:val="5C656E"/>
          <w:sz w:val="23"/>
        </w:rPr>
        <w:t>During and After Participation</w:t>
      </w:r>
    </w:p>
    <w:p>
      <w:pPr>
        <w:pStyle w:val="Label"/>
        <w:widowControl/>
      </w:pPr>
      <w:r>
        <w:t>Action</w:t>
      </w:r>
    </w:p>
    <w:p>
      <w:pPr>
        <w:widowControl/>
      </w:pPr>
      <w:r>
        <w:t>Define, classify, and communicate:</w:t>
      </w:r>
    </w:p>
    <w:p>
      <w:pPr>
        <w:pStyle w:val="CompactBullet"/>
        <w:widowControl/>
      </w:pPr>
      <w:r>
        <w:t>reputational persistence risk</w:t>
      </w:r>
    </w:p>
    <w:p>
      <w:pPr>
        <w:pStyle w:val="CompactBullet"/>
        <w:widowControl/>
      </w:pPr>
      <w:r>
        <w:t>classification lock-in</w:t>
      </w:r>
    </w:p>
    <w:p>
      <w:pPr>
        <w:pStyle w:val="CompactBullet"/>
        <w:widowControl/>
      </w:pPr>
      <w:r>
        <w:t>asymmetrical social cost</w:t>
      </w:r>
    </w:p>
    <w:p>
      <w:pPr>
        <w:pStyle w:val="CompactBullet"/>
        <w:widowControl/>
      </w:pPr>
      <w:r>
        <w:t>coercion exposure</w:t>
      </w:r>
    </w:p>
    <w:p>
      <w:pPr>
        <w:pStyle w:val="CompactBullet"/>
        <w:widowControl/>
      </w:pPr>
      <w:r>
        <w:t>violence-conditioning exposure</w:t>
      </w:r>
    </w:p>
    <w:p>
      <w:pPr>
        <w:pStyle w:val="CompactBullet"/>
        <w:widowControl/>
      </w:pPr>
      <w:r>
        <w:t>identity collapse</w:t>
      </w:r>
    </w:p>
    <w:p>
      <w:pPr>
        <w:pStyle w:val="CompactBullet"/>
        <w:widowControl/>
      </w:pPr>
      <w:r>
        <w:t>future employment risk</w:t>
      </w:r>
    </w:p>
    <w:p>
      <w:pPr>
        <w:pStyle w:val="CompactBullet"/>
        <w:widowControl/>
      </w:pPr>
      <w:r>
        <w:t>relationship and family impact</w:t>
      </w:r>
    </w:p>
    <w:p>
      <w:pPr>
        <w:pStyle w:val="CompactBullet"/>
        <w:widowControl/>
      </w:pPr>
      <w:r>
        <w:t>stalking, harassment, and doxxing risk</w:t>
      </w:r>
    </w:p>
    <w:p>
      <w:pPr>
        <w:pStyle w:val="CompactBullet"/>
        <w:widowControl/>
      </w:pPr>
      <w:r>
        <w:t>market-created demand pressure</w:t>
      </w:r>
    </w:p>
    <w:p>
      <w:pPr>
        <w:pStyle w:val="CompactBullet"/>
        <w:widowControl/>
      </w:pPr>
      <w:r>
        <w:t>difficulty exiting once exposure becomes searchable</w:t>
      </w:r>
    </w:p>
    <w:p>
      <w:pPr>
        <w:pStyle w:val="Label"/>
        <w:widowControl/>
      </w:pPr>
      <w:r>
        <w:t>Effect</w:t>
      </w:r>
    </w:p>
    <w:p>
      <w:pPr>
        <w:widowControl/>
      </w:pPr>
      <w:r>
        <w:t>Reframes participation as risk-managed activity.</w:t>
      </w:r>
    </w:p>
    <w:p>
      <w:pPr>
        <w:widowControl/>
      </w:pPr>
      <w:r>
        <w:t>Enables non-moral intervention.</w:t>
      </w:r>
    </w:p>
    <w:p>
      <w:pPr>
        <w:widowControl/>
      </w:pPr>
      <w:r>
        <w:t>Makes foreseeable harms visible before they are externalized.</w:t>
      </w:r>
    </w:p>
    <w:p>
      <w:pPr>
        <w:pStyle w:val="Label"/>
        <w:widowControl/>
      </w:pPr>
      <w:r>
        <w:t>Rationale</w:t>
      </w:r>
    </w:p>
    <w:p>
      <w:pPr>
        <w:widowControl/>
      </w:pPr>
      <w:r>
        <w:t>The risks are known, but they are not structured into usable frameworks.</w:t>
      </w:r>
    </w:p>
    <w:p>
      <w:pPr>
        <w:widowControl/>
      </w:pPr>
      <w:r>
        <w:t>A market cannot keep the upside measurable and the injury stream invisible.</w:t>
      </w:r>
    </w:p>
    <w:p>
      <w:pPr>
        <w:pStyle w:val="Heading1"/>
        <w:widowControl/>
      </w:pPr>
      <w:r>
        <w:t>VIII. REPUTATIONAL MITIGATION AND EXIT RIGHTS</w:t>
      </w:r>
    </w:p>
    <w:p>
      <w:pPr>
        <w:pStyle w:val="Label"/>
        <w:widowControl/>
      </w:pPr>
      <w:r>
        <w:t>Action</w:t>
      </w:r>
    </w:p>
    <w:p>
      <w:pPr>
        <w:widowControl/>
      </w:pPr>
      <w:r>
        <w:t>Establish enforceable mechanisms for:</w:t>
      </w:r>
    </w:p>
    <w:p>
      <w:pPr>
        <w:pStyle w:val="CompactBullet"/>
        <w:widowControl/>
      </w:pPr>
      <w:r>
        <w:t>identity separation</w:t>
      </w:r>
    </w:p>
    <w:p>
      <w:pPr>
        <w:pStyle w:val="CompactBullet"/>
        <w:widowControl/>
      </w:pPr>
      <w:r>
        <w:t>content suppression over time</w:t>
      </w:r>
    </w:p>
    <w:p>
      <w:pPr>
        <w:pStyle w:val="CompactBullet"/>
        <w:widowControl/>
      </w:pPr>
      <w:r>
        <w:t>search de-indexing pathways</w:t>
      </w:r>
    </w:p>
    <w:p>
      <w:pPr>
        <w:pStyle w:val="CompactBullet"/>
        <w:widowControl/>
      </w:pPr>
      <w:r>
        <w:t>transition support</w:t>
      </w:r>
    </w:p>
    <w:p>
      <w:pPr>
        <w:pStyle w:val="CompactBullet"/>
        <w:widowControl/>
      </w:pPr>
      <w:r>
        <w:t>income-transition support</w:t>
      </w:r>
    </w:p>
    <w:p>
      <w:pPr>
        <w:pStyle w:val="CompactBullet"/>
        <w:widowControl/>
      </w:pPr>
      <w:r>
        <w:t>legal support for harassment or misuse</w:t>
      </w:r>
    </w:p>
    <w:p>
      <w:pPr>
        <w:pStyle w:val="CompactBullet"/>
        <w:widowControl/>
      </w:pPr>
      <w:r>
        <w:t>suppression of re-uploaded or scraped material</w:t>
      </w:r>
    </w:p>
    <w:p>
      <w:pPr>
        <w:pStyle w:val="CompactBullet"/>
        <w:widowControl/>
      </w:pPr>
      <w:r>
        <w:t>prohibition on re-targeting exited participants</w:t>
      </w:r>
    </w:p>
    <w:p>
      <w:pPr>
        <w:pStyle w:val="CompactBullet"/>
        <w:widowControl/>
      </w:pPr>
      <w:r>
        <w:t>penalties for platforms that profit from persistence after withdrawal</w:t>
      </w:r>
    </w:p>
    <w:p>
      <w:pPr>
        <w:pStyle w:val="Label"/>
        <w:widowControl/>
      </w:pPr>
      <w:r>
        <w:t>Effect</w:t>
      </w:r>
    </w:p>
    <w:p>
      <w:pPr>
        <w:widowControl/>
      </w:pPr>
      <w:r>
        <w:t>Reduces irreversibility.</w:t>
      </w:r>
    </w:p>
    <w:p>
      <w:pPr>
        <w:widowControl/>
      </w:pPr>
      <w:r>
        <w:t>Improves exit viability.</w:t>
      </w:r>
    </w:p>
    <w:p>
      <w:pPr>
        <w:widowControl/>
      </w:pPr>
      <w:r>
        <w:t>Limits the market’s ability to turn temporary participation into permanent classification.</w:t>
      </w:r>
    </w:p>
    <w:p>
      <w:pPr>
        <w:pStyle w:val="Label"/>
        <w:widowControl/>
      </w:pPr>
      <w:r>
        <w:t>Rationale</w:t>
      </w:r>
    </w:p>
    <w:p>
      <w:pPr>
        <w:widowControl/>
      </w:pPr>
      <w:r>
        <w:t>Reputational persistence creates structural lock-in.</w:t>
      </w:r>
    </w:p>
    <w:p>
      <w:pPr>
        <w:widowControl/>
      </w:pPr>
      <w:r>
        <w:t>Exit is not meaningful if the market keeps the identity, content, category, ranking, and social cost alive after participation ends.</w:t>
      </w:r>
    </w:p>
    <w:p>
      <w:pPr>
        <w:pStyle w:val="Heading1"/>
        <w:widowControl/>
      </w:pPr>
      <w:r>
        <w:t>IX. SELF-EXCLUSION AND PARTICIPATION CONTROL</w:t>
      </w:r>
    </w:p>
    <w:p>
      <w:pPr>
        <w:pStyle w:val="Label"/>
        <w:widowControl/>
      </w:pPr>
      <w:r>
        <w:t>Action</w:t>
      </w:r>
    </w:p>
    <w:p>
      <w:pPr>
        <w:widowControl/>
      </w:pPr>
      <w:r>
        <w:t>Implement voluntary, enforceable participation limits:</w:t>
      </w:r>
    </w:p>
    <w:p>
      <w:pPr>
        <w:pStyle w:val="CompactBullet"/>
        <w:widowControl/>
      </w:pPr>
      <w:r>
        <w:t>time-bound self-exclusion</w:t>
      </w:r>
    </w:p>
    <w:p>
      <w:pPr>
        <w:pStyle w:val="CompactBullet"/>
        <w:widowControl/>
      </w:pPr>
      <w:r>
        <w:t>permanent self-exclusion</w:t>
      </w:r>
    </w:p>
    <w:p>
      <w:pPr>
        <w:pStyle w:val="CompactBullet"/>
        <w:widowControl/>
      </w:pPr>
      <w:r>
        <w:t>cross-account enforcement</w:t>
      </w:r>
    </w:p>
    <w:p>
      <w:pPr>
        <w:pStyle w:val="CompactBullet"/>
        <w:widowControl/>
      </w:pPr>
      <w:r>
        <w:t>payment-method enforcement</w:t>
      </w:r>
    </w:p>
    <w:p>
      <w:pPr>
        <w:pStyle w:val="CompactBullet"/>
        <w:widowControl/>
      </w:pPr>
      <w:r>
        <w:t>mandatory cooldown periods before reactivation</w:t>
      </w:r>
    </w:p>
    <w:p>
      <w:pPr>
        <w:pStyle w:val="CompactBullet"/>
        <w:widowControl/>
      </w:pPr>
      <w:r>
        <w:t>restriction from platform marketing during exclusion</w:t>
      </w:r>
    </w:p>
    <w:p>
      <w:pPr>
        <w:pStyle w:val="CompactBullet"/>
        <w:widowControl/>
      </w:pPr>
      <w:r>
        <w:t>restriction from re-targeting, reminders, ranking prompts, or comeback incentives</w:t>
      </w:r>
    </w:p>
    <w:p>
      <w:pPr>
        <w:pStyle w:val="CompactBullet"/>
        <w:widowControl/>
      </w:pPr>
      <w:r>
        <w:t>reactivation only after renewed outcome disclosure</w:t>
      </w:r>
    </w:p>
    <w:p>
      <w:pPr>
        <w:pStyle w:val="Label"/>
        <w:widowControl/>
      </w:pPr>
      <w:r>
        <w:t>Effect</w:t>
      </w:r>
    </w:p>
    <w:p>
      <w:pPr>
        <w:widowControl/>
      </w:pPr>
      <w:r>
        <w:t>Introduces interruption during active reinforcement conditions.</w:t>
      </w:r>
    </w:p>
    <w:p>
      <w:pPr>
        <w:widowControl/>
      </w:pPr>
      <w:r>
        <w:t>Disrupts escalation and continuous re-entry behavior.</w:t>
      </w:r>
    </w:p>
    <w:p>
      <w:pPr>
        <w:widowControl/>
      </w:pPr>
      <w:r>
        <w:t>Creates pre-commitment across non-reward and reward states.</w:t>
      </w:r>
    </w:p>
    <w:p>
      <w:pPr>
        <w:pStyle w:val="Label"/>
        <w:widowControl/>
      </w:pPr>
      <w:r>
        <w:t>Rationale</w:t>
      </w:r>
    </w:p>
    <w:p>
      <w:pPr>
        <w:widowControl/>
      </w:pPr>
      <w:r>
        <w:t>Participation is sustained through reinforcement loops and temporal distortion.</w:t>
      </w:r>
    </w:p>
    <w:p>
      <w:pPr>
        <w:widowControl/>
      </w:pPr>
      <w:r>
        <w:t>There is currently no structured interruption mechanism despite known behavioral dynamics.</w:t>
      </w:r>
    </w:p>
    <w:p>
      <w:pPr>
        <w:pStyle w:val="Heading1"/>
        <w:widowControl/>
      </w:pPr>
      <w:r>
        <w:t>X. KNOWLEDGE AND ACCOUNTABILITY CORRECTION</w:t>
      </w:r>
    </w:p>
    <w:p>
      <w:pPr>
        <w:pStyle w:val="Label"/>
        <w:widowControl/>
      </w:pPr>
      <w:r>
        <w:t>Action</w:t>
      </w:r>
    </w:p>
    <w:p>
      <w:pPr>
        <w:widowControl/>
      </w:pPr>
      <w:r>
        <w:t>Require standardized reporting on:</w:t>
      </w:r>
    </w:p>
    <w:p>
      <w:pPr>
        <w:pStyle w:val="CompactBullet"/>
        <w:widowControl/>
      </w:pPr>
      <w:r>
        <w:t>lifecycle outcomes</w:t>
      </w:r>
    </w:p>
    <w:p>
      <w:pPr>
        <w:pStyle w:val="CompactBullet"/>
        <w:widowControl/>
      </w:pPr>
      <w:r>
        <w:t>earnings distribution</w:t>
      </w:r>
    </w:p>
    <w:p>
      <w:pPr>
        <w:pStyle w:val="CompactBullet"/>
        <w:widowControl/>
      </w:pPr>
      <w:r>
        <w:t>attrition</w:t>
      </w:r>
    </w:p>
    <w:p>
      <w:pPr>
        <w:pStyle w:val="CompactBullet"/>
        <w:widowControl/>
      </w:pPr>
      <w:r>
        <w:t>exit conditions</w:t>
      </w:r>
    </w:p>
    <w:p>
      <w:pPr>
        <w:pStyle w:val="CompactBullet"/>
        <w:widowControl/>
      </w:pPr>
      <w:r>
        <w:t>reputational impact</w:t>
      </w:r>
    </w:p>
    <w:p>
      <w:pPr>
        <w:pStyle w:val="CompactBullet"/>
        <w:widowControl/>
      </w:pPr>
      <w:r>
        <w:t>mental and physical harm reports</w:t>
      </w:r>
    </w:p>
    <w:p>
      <w:pPr>
        <w:pStyle w:val="CompactBullet"/>
        <w:widowControl/>
      </w:pPr>
      <w:r>
        <w:t>escalation pressure</w:t>
      </w:r>
    </w:p>
    <w:p>
      <w:pPr>
        <w:pStyle w:val="CompactBullet"/>
        <w:widowControl/>
      </w:pPr>
      <w:r>
        <w:t>coercion exposure</w:t>
      </w:r>
    </w:p>
    <w:p>
      <w:pPr>
        <w:pStyle w:val="CompactBullet"/>
        <w:widowControl/>
      </w:pPr>
      <w:r>
        <w:t>demand-side conditioning indicators</w:t>
      </w:r>
    </w:p>
    <w:p>
      <w:pPr>
        <w:pStyle w:val="CompactBullet"/>
        <w:widowControl/>
      </w:pPr>
      <w:r>
        <w:t>violence-coded and youth-coded category growth</w:t>
      </w:r>
    </w:p>
    <w:p>
      <w:pPr>
        <w:pStyle w:val="CompactBullet"/>
        <w:widowControl/>
      </w:pPr>
      <w:r>
        <w:t>downstream public-cost transfer</w:t>
      </w:r>
    </w:p>
    <w:p>
      <w:pPr>
        <w:pStyle w:val="CompactBullet"/>
        <w:widowControl/>
      </w:pPr>
      <w:r>
        <w:t>intervention-market dependence</w:t>
      </w:r>
    </w:p>
    <w:p>
      <w:pPr>
        <w:pStyle w:val="Label"/>
        <w:widowControl/>
      </w:pPr>
      <w:r>
        <w:t>Effect</w:t>
      </w:r>
    </w:p>
    <w:p>
      <w:pPr>
        <w:widowControl/>
      </w:pPr>
      <w:r>
        <w:t>Closes the demand vs. supply knowledge gap.</w:t>
      </w:r>
    </w:p>
    <w:p>
      <w:pPr>
        <w:widowControl/>
      </w:pPr>
      <w:r>
        <w:t>Prevents the market from optimizing demand while keeping supply outcomes undisclosed.</w:t>
      </w:r>
    </w:p>
    <w:p>
      <w:pPr>
        <w:widowControl/>
      </w:pPr>
      <w:r>
        <w:t>Allows regulators, courts, schools, researchers, and the public to see the full risk stream.</w:t>
      </w:r>
    </w:p>
    <w:p>
      <w:pPr>
        <w:pStyle w:val="Label"/>
        <w:widowControl/>
      </w:pPr>
      <w:r>
        <w:t>Rationale</w:t>
      </w:r>
    </w:p>
    <w:p>
      <w:pPr>
        <w:widowControl/>
      </w:pPr>
      <w:r>
        <w:t>Demand is optimized while outcomes remain undisclosed.</w:t>
      </w:r>
    </w:p>
    <w:p>
      <w:pPr>
        <w:widowControl/>
      </w:pPr>
      <w:r>
        <w:t>That is not consent. It is information asymmetry.</w:t>
      </w:r>
    </w:p>
    <w:p>
      <w:pPr>
        <w:pStyle w:val="Heading1"/>
        <w:widowControl/>
      </w:pPr>
      <w:r>
        <w:t>XI. FULL HARM UNDERWRITING</w:t>
      </w:r>
    </w:p>
    <w:p>
      <w:pPr>
        <w:pStyle w:val="Label"/>
        <w:widowControl/>
      </w:pPr>
      <w:r>
        <w:t>Action</w:t>
      </w:r>
    </w:p>
    <w:p>
      <w:pPr>
        <w:widowControl/>
      </w:pPr>
      <w:r>
        <w:t>Require the adult sexual reward-loop actor chain to price, reserve for, insure, and pay for foreseeable harms created by the model, including:</w:t>
      </w:r>
    </w:p>
    <w:p>
      <w:pPr>
        <w:pStyle w:val="CompactBullet"/>
        <w:widowControl/>
      </w:pPr>
      <w:r>
        <w:t>prevention</w:t>
      </w:r>
    </w:p>
    <w:p>
      <w:pPr>
        <w:pStyle w:val="CompactBullet"/>
        <w:widowControl/>
      </w:pPr>
      <w:r>
        <w:t>age non-access systems</w:t>
      </w:r>
    </w:p>
    <w:p>
      <w:pPr>
        <w:pStyle w:val="CompactBullet"/>
        <w:widowControl/>
      </w:pPr>
      <w:r>
        <w:t>classification systems</w:t>
      </w:r>
    </w:p>
    <w:p>
      <w:pPr>
        <w:pStyle w:val="CompactBullet"/>
        <w:widowControl/>
      </w:pPr>
      <w:r>
        <w:t>exposure interruption</w:t>
      </w:r>
    </w:p>
    <w:p>
      <w:pPr>
        <w:pStyle w:val="CompactBullet"/>
        <w:widowControl/>
      </w:pPr>
      <w:r>
        <w:t>exit support</w:t>
      </w:r>
    </w:p>
    <w:p>
      <w:pPr>
        <w:pStyle w:val="CompactBullet"/>
        <w:widowControl/>
      </w:pPr>
      <w:r>
        <w:t>reputational mitigation</w:t>
      </w:r>
    </w:p>
    <w:p>
      <w:pPr>
        <w:pStyle w:val="CompactBullet"/>
        <w:widowControl/>
      </w:pPr>
      <w:r>
        <w:t>therapy and recovery costs</w:t>
      </w:r>
    </w:p>
    <w:p>
      <w:pPr>
        <w:pStyle w:val="CompactBullet"/>
        <w:widowControl/>
      </w:pPr>
      <w:r>
        <w:t>moderation costs</w:t>
      </w:r>
    </w:p>
    <w:p>
      <w:pPr>
        <w:pStyle w:val="CompactBullet"/>
        <w:widowControl/>
      </w:pPr>
      <w:r>
        <w:t>enforcement costs</w:t>
      </w:r>
    </w:p>
    <w:p>
      <w:pPr>
        <w:pStyle w:val="CompactBullet"/>
        <w:widowControl/>
      </w:pPr>
      <w:r>
        <w:t>school and family system impacts</w:t>
      </w:r>
    </w:p>
    <w:p>
      <w:pPr>
        <w:pStyle w:val="CompactBullet"/>
        <w:widowControl/>
      </w:pPr>
      <w:r>
        <w:t>public-health impacts</w:t>
      </w:r>
    </w:p>
    <w:p>
      <w:pPr>
        <w:pStyle w:val="CompactBullet"/>
        <w:widowControl/>
      </w:pPr>
      <w:r>
        <w:t>demand-side injury</w:t>
      </w:r>
    </w:p>
    <w:p>
      <w:pPr>
        <w:pStyle w:val="CompactBullet"/>
        <w:widowControl/>
      </w:pPr>
      <w:r>
        <w:t>supply-side injury</w:t>
      </w:r>
    </w:p>
    <w:p>
      <w:pPr>
        <w:pStyle w:val="CompactBullet"/>
        <w:widowControl/>
      </w:pPr>
      <w:r>
        <w:t>harms from youth-coded and violence-conditioned escalation</w:t>
      </w:r>
    </w:p>
    <w:p>
      <w:pPr>
        <w:pStyle w:val="Label"/>
        <w:widowControl/>
      </w:pPr>
      <w:r>
        <w:t>Effect</w:t>
      </w:r>
    </w:p>
    <w:p>
      <w:pPr>
        <w:widowControl/>
      </w:pPr>
      <w:r>
        <w:t>Prevents the market from privatizing profit while externalizing injury.</w:t>
      </w:r>
    </w:p>
    <w:p>
      <w:pPr>
        <w:widowControl/>
      </w:pPr>
      <w:r>
        <w:t>Tests whether the model can survive without subsidy from harmed populations and public systems.</w:t>
      </w:r>
    </w:p>
    <w:p>
      <w:pPr>
        <w:pStyle w:val="Label"/>
        <w:widowControl/>
      </w:pPr>
      <w:r>
        <w:t>Rationale</w:t>
      </w:r>
    </w:p>
    <w:p>
      <w:pPr>
        <w:widowControl/>
      </w:pPr>
      <w:r>
        <w:t>If the model cannot survive full underwriting of the injury stream it creates, then it was not a legitimate market.</w:t>
      </w:r>
    </w:p>
    <w:p>
      <w:pPr>
        <w:widowControl/>
      </w:pPr>
      <w:r>
        <w:t>It was surviving by forcing others to carry the cost.</w:t>
      </w:r>
    </w:p>
    <w:p>
      <w:pPr>
        <w:pStyle w:val="Heading1"/>
        <w:widowControl/>
      </w:pPr>
      <w:r>
        <w:t>XII. ACTOR-CHAIN DISQUALIFICATION</w:t>
      </w:r>
    </w:p>
    <w:p>
      <w:pPr>
        <w:pStyle w:val="Label"/>
        <w:widowControl/>
      </w:pPr>
      <w:r>
        <w:t>Rule</w:t>
      </w:r>
    </w:p>
    <w:p>
      <w:pPr>
        <w:widowControl/>
      </w:pPr>
      <w:r>
        <w:t>The original profit actor cannot become the trusted prevention or intervention authority for the harm its own business model created, preserved, and monetized.</w:t>
      </w:r>
    </w:p>
    <w:p>
      <w:pPr>
        <w:pStyle w:val="Label"/>
        <w:widowControl/>
      </w:pPr>
      <w:r>
        <w:t>Effect</w:t>
      </w:r>
    </w:p>
    <w:p>
      <w:pPr>
        <w:widowControl/>
      </w:pPr>
      <w:r>
        <w:t>Prevents intervention capture.</w:t>
      </w:r>
    </w:p>
    <w:p>
      <w:pPr>
        <w:widowControl/>
      </w:pPr>
      <w:r>
        <w:t>Stops the market from using cleanup tools as legitimacy proof.</w:t>
      </w:r>
    </w:p>
    <w:p>
      <w:pPr>
        <w:widowControl/>
      </w:pPr>
      <w:r>
        <w:t>Separates prevention from preservation.</w:t>
      </w:r>
    </w:p>
    <w:p>
      <w:pPr>
        <w:pStyle w:val="Label"/>
        <w:widowControl/>
      </w:pPr>
      <w:r>
        <w:t>Rationale</w:t>
      </w:r>
    </w:p>
    <w:p>
      <w:pPr>
        <w:widowControl/>
      </w:pPr>
      <w:r>
        <w:t>A market that creates the injury population does not get to become the intervention authority for that injury population.</w:t>
      </w:r>
    </w:p>
    <w:p>
      <w:pPr>
        <w:widowControl/>
      </w:pPr>
      <w:r>
        <w:t>Exit tools do not cure the operating method if vulnerability conversion remains intact.</w:t>
      </w:r>
    </w:p>
    <w:p>
      <w:pPr>
        <w:pStyle w:val="Heading1"/>
        <w:widowControl/>
      </w:pPr>
      <w:r>
        <w:t>XIII. SYSTEM EFFECT</w:t>
      </w:r>
    </w:p>
    <w:p>
      <w:pPr>
        <w:widowControl/>
      </w:pPr>
      <w:r>
        <w:t>When implemented together:</w:t>
      </w:r>
    </w:p>
    <w:p>
      <w:pPr>
        <w:pStyle w:val="CompactBullet"/>
        <w:widowControl/>
      </w:pPr>
      <w:r>
        <w:t>entry becomes informed, not reactive</w:t>
      </w:r>
    </w:p>
    <w:p>
      <w:pPr>
        <w:pStyle w:val="CompactBullet"/>
        <w:widowControl/>
      </w:pPr>
      <w:r>
        <w:t>exposure becomes prevented, not cleaned up after capture</w:t>
      </w:r>
    </w:p>
    <w:p>
      <w:pPr>
        <w:pStyle w:val="CompactBullet"/>
        <w:widowControl/>
      </w:pPr>
      <w:r>
        <w:t>participation becomes structured, not ambiguous</w:t>
      </w:r>
    </w:p>
    <w:p>
      <w:pPr>
        <w:pStyle w:val="CompactBullet"/>
        <w:widowControl/>
      </w:pPr>
      <w:r>
        <w:t>risk becomes visible, not delayed</w:t>
      </w:r>
    </w:p>
    <w:p>
      <w:pPr>
        <w:pStyle w:val="CompactBullet"/>
        <w:widowControl/>
      </w:pPr>
      <w:r>
        <w:t>demand conditioning becomes named, not naturalized</w:t>
      </w:r>
    </w:p>
    <w:p>
      <w:pPr>
        <w:pStyle w:val="CompactBullet"/>
        <w:widowControl/>
      </w:pPr>
      <w:r>
        <w:t>supply pressure becomes measurable, not individualized</w:t>
      </w:r>
    </w:p>
    <w:p>
      <w:pPr>
        <w:pStyle w:val="CompactBullet"/>
        <w:widowControl/>
      </w:pPr>
      <w:r>
        <w:t>classification becomes controlled, not emergent</w:t>
      </w:r>
    </w:p>
    <w:p>
      <w:pPr>
        <w:pStyle w:val="CompactBullet"/>
        <w:widowControl/>
      </w:pPr>
      <w:r>
        <w:t>exit becomes enforceable, not symbolic</w:t>
      </w:r>
    </w:p>
    <w:p>
      <w:pPr>
        <w:pStyle w:val="CompactBullet"/>
        <w:widowControl/>
      </w:pPr>
      <w:r>
        <w:t>harm becomes underwritten, not externalized</w:t>
      </w:r>
    </w:p>
    <w:p>
      <w:pPr>
        <w:pStyle w:val="CompactBullet"/>
        <w:widowControl/>
      </w:pPr>
      <w:r>
        <w:t>intervention no longer preserves the market that created the injury</w:t>
      </w:r>
    </w:p>
    <w:p>
      <w:pPr>
        <w:pStyle w:val="CompactBullet"/>
        <w:widowControl/>
      </w:pPr>
      <w:r>
        <w:t>the existing business model loses any presumption that continuity is the preferred outcome</w:t>
      </w:r>
    </w:p>
    <w:p>
      <w:pPr>
        <w:pStyle w:val="CompactBullet"/>
        <w:widowControl/>
      </w:pPr>
      <w:r>
        <w:t>the enterprise survives only if it becomes a structurally different model that no longer depends on the injury-producing operating method</w:t>
      </w:r>
    </w:p>
    <w:p>
      <w:pPr>
        <w:pStyle w:val="Heading1"/>
        <w:widowControl/>
      </w:pPr>
      <w:r>
        <w:t>XIV. REBUILD-OR-REMOVE DISPOSITION RULE</w:t>
      </w:r>
    </w:p>
    <w:p>
      <w:pPr>
        <w:pStyle w:val="Label"/>
        <w:widowControl/>
      </w:pPr>
      <w:r>
        <w:t>Rule</w:t>
      </w:r>
    </w:p>
    <w:p>
      <w:pPr>
        <w:widowControl/>
      </w:pPr>
      <w:r>
        <w:t>The existing business model is not entitled to a safer version of the same operating method.</w:t>
      </w:r>
    </w:p>
    <w:p>
      <w:pPr>
        <w:widowControl/>
      </w:pPr>
      <w:r>
        <w:t>It must either be completely rebuilt so that the operating method no longer creates, conditions, conceals, externalizes, or monetizes the injury stream, or it must be removed.</w:t>
      </w:r>
    </w:p>
    <w:p>
      <w:pPr>
        <w:pStyle w:val="Label"/>
        <w:widowControl/>
      </w:pPr>
      <w:r>
        <w:t>Required Conditions for Continued Operation</w:t>
      </w:r>
    </w:p>
    <w:p>
      <w:pPr>
        <w:widowControl/>
      </w:pPr>
      <w:r>
        <w:t>Continued operation requires all of the following as enforceable conditions, not voluntary programs:</w:t>
      </w:r>
    </w:p>
    <w:p>
      <w:pPr>
        <w:pStyle w:val="CompactBullet"/>
        <w:widowControl/>
      </w:pPr>
      <w:r>
        <w:t>child non-access at entry</w:t>
      </w:r>
    </w:p>
    <w:p>
      <w:pPr>
        <w:pStyle w:val="CompactBullet"/>
        <w:widowControl/>
      </w:pPr>
      <w:r>
        <w:t>prevention before exposure</w:t>
      </w:r>
    </w:p>
    <w:p>
      <w:pPr>
        <w:pStyle w:val="CompactBullet"/>
        <w:widowControl/>
      </w:pPr>
      <w:r>
        <w:t>independent classification and reporting</w:t>
      </w:r>
    </w:p>
    <w:p>
      <w:pPr>
        <w:pStyle w:val="CompactBullet"/>
        <w:widowControl/>
      </w:pPr>
      <w:r>
        <w:t>truthful lifecycle and earnings disclosure</w:t>
      </w:r>
    </w:p>
    <w:p>
      <w:pPr>
        <w:pStyle w:val="CompactBullet"/>
        <w:widowControl/>
      </w:pPr>
      <w:r>
        <w:t>labor, role, transaction, and identity clarity</w:t>
      </w:r>
    </w:p>
    <w:p>
      <w:pPr>
        <w:pStyle w:val="CompactBullet"/>
        <w:widowControl/>
      </w:pPr>
      <w:r>
        <w:t>demand-side conditioning interruption</w:t>
      </w:r>
    </w:p>
    <w:p>
      <w:pPr>
        <w:pStyle w:val="CompactBullet"/>
        <w:widowControl/>
      </w:pPr>
      <w:r>
        <w:t>enforceable suppression, exit, and self-exclusion</w:t>
      </w:r>
    </w:p>
    <w:p>
      <w:pPr>
        <w:pStyle w:val="CompactBullet"/>
        <w:widowControl/>
      </w:pPr>
      <w:r>
        <w:t>full harm underwriting</w:t>
      </w:r>
    </w:p>
    <w:p>
      <w:pPr>
        <w:pStyle w:val="CompactBullet"/>
        <w:widowControl/>
      </w:pPr>
      <w:r>
        <w:t>independent oversight and receiving mechanisms</w:t>
      </w:r>
    </w:p>
    <w:p>
      <w:pPr>
        <w:pStyle w:val="CompactBullet"/>
        <w:widowControl/>
      </w:pPr>
      <w:r>
        <w:t>disqualification of original profit actors from control of prevention, research, or intervention</w:t>
      </w:r>
    </w:p>
    <w:p>
      <w:pPr>
        <w:pStyle w:val="Label"/>
        <w:widowControl/>
      </w:pPr>
      <w:r>
        <w:t>Removal Trigger</w:t>
      </w:r>
    </w:p>
    <w:p>
      <w:pPr>
        <w:widowControl/>
      </w:pPr>
      <w:r>
        <w:t>If the model cannot satisfy these duties without losing the revenue produced by vulnerability conversion, behavioral conditioning, ambiguity, persistence, or injury externalization, the model must be prohibited, withdrawn, dissolved, or replaced.</w:t>
      </w:r>
    </w:p>
    <w:p>
      <w:pPr>
        <w:widowControl/>
      </w:pPr>
      <w:r>
        <w:t>Ownership transfer, rebranding, trust-and-safety expansion, moderation, age-gate compliance, wellness tools, research funding, and intervention programs do not cure the operating method.</w:t>
      </w:r>
    </w:p>
    <w:p>
      <w:pPr>
        <w:pStyle w:val="Label"/>
        <w:widowControl/>
      </w:pPr>
      <w:r>
        <w:t>Corporate-Form Rule</w:t>
      </w:r>
    </w:p>
    <w:p>
      <w:pPr>
        <w:widowControl/>
      </w:pPr>
      <w:r>
        <w:t>Corporate scale cannot transform conduct that would trigger severe criminal, civil, or regulatory consequences if carried out by one person into a presumptively legitimate market merely because the conduct is distributed across platforms, owners, vendors, researchers, banks, and intervention actors.</w:t>
      </w:r>
    </w:p>
    <w:p>
      <w:pPr>
        <w:widowControl/>
      </w:pPr>
      <w:r>
        <w:t>Distribution of functions does not erase cumulative control, benefit, knowledge, or injury.</w:t>
      </w:r>
    </w:p>
    <w:p>
      <w:pPr>
        <w:pStyle w:val="Label"/>
        <w:widowControl/>
      </w:pPr>
      <w:r>
        <w:t>Effect</w:t>
      </w:r>
    </w:p>
    <w:p>
      <w:pPr>
        <w:widowControl/>
      </w:pPr>
      <w:r>
        <w:t>Ends the assumption that preserving the market is the default remedy.</w:t>
      </w:r>
    </w:p>
    <w:p>
      <w:pPr>
        <w:widowControl/>
      </w:pPr>
      <w:r>
        <w:t>Converts every corrective measure into a survival test for the model itself.</w:t>
      </w:r>
    </w:p>
    <w:p>
      <w:pPr>
        <w:widowControl/>
      </w:pPr>
      <w:r>
        <w:t>Prevents the same actors from retaining control through rebranding, compliance layers, or intervention capture.</w:t>
      </w:r>
    </w:p>
    <w:p>
      <w:pPr>
        <w:pStyle w:val="Label"/>
        <w:widowControl/>
      </w:pPr>
      <w:r>
        <w:t>Rationale</w:t>
      </w:r>
    </w:p>
    <w:p>
      <w:pPr>
        <w:widowControl/>
      </w:pPr>
      <w:r>
        <w:t>The operating method is the harm when profitability depends on child reachability, vulnerability conversion, conditioned demand, durable identity exposure, transaction ambiguity, worker risk absorption, and downstream cost transfer.</w:t>
      </w:r>
    </w:p>
    <w:p>
      <w:pPr>
        <w:widowControl/>
      </w:pPr>
      <w:r>
        <w:t>A model that cannot survive without those conditions does not need another safety layer. It needs removal.</w:t>
      </w:r>
    </w:p>
    <w:tbl>
      <w:tblPr>
        <w:tblW w:type="auto" w:w="0"/>
        <w:tblLayout w:type="autofit"/>
        <w:tblLook w:firstColumn="1" w:firstRow="1" w:lastColumn="0" w:lastRow="0" w:noHBand="0" w:noVBand="1" w:val="04A0"/>
      </w:tblPr>
      <w:tblGrid>
        <w:gridCol w:w="9936"/>
      </w:tblGrid>
      <w:tr>
        <w:tc>
          <w:tcPr>
            <w:tcW w:type="dxa" w:w="9936"/>
            <w:vAlign w:val="center"/>
            <w:shd w:fill="F9ECEC"/>
            <w:tcBorders>
              <w:top w:val="single" w:sz="12" w:space="0" w:color="8B2323"/>
              <w:left w:val="single" w:sz="12" w:space="0" w:color="8B2323"/>
              <w:bottom w:val="single" w:sz="12" w:space="0" w:color="8B2323"/>
              <w:right w:val="single" w:sz="12" w:space="0" w:color="8B2323"/>
            </w:tcBorders>
          </w:tcPr>
          <w:p>
            <w:pPr>
              <w:spacing w:after="80"/>
            </w:pPr>
            <w:r>
              <w:rPr>
                <w:rFonts w:ascii="Arial" w:hAnsi="Arial"/>
                <w:b/>
                <w:color w:val="8B2323"/>
                <w:sz w:val="23"/>
              </w:rPr>
              <w:t>Final Hard Lock</w:t>
            </w:r>
          </w:p>
          <w:p>
            <w:pPr>
              <w:spacing w:after="80" w:line="252" w:lineRule="auto"/>
            </w:pPr>
            <w:r>
              <w:rPr>
                <w:rFonts w:ascii="Arial" w:hAnsi="Arial"/>
                <w:sz w:val="20"/>
              </w:rPr>
              <w:t>Rebuild the entire model or remove it.</w:t>
            </w:r>
          </w:p>
          <w:p>
            <w:pPr>
              <w:spacing w:after="80" w:line="252" w:lineRule="auto"/>
            </w:pPr>
            <w:r>
              <w:rPr>
                <w:rFonts w:ascii="Arial" w:hAnsi="Arial"/>
                <w:sz w:val="20"/>
              </w:rPr>
              <w:t>If full prevention, full disclosure, full worker protection, full underwriting, independent oversight, and actor disqualification destroy the business case, that does not prove the safeguards are excessive. It proves the prior business case depended on injury that others were forced to carry.</w:t>
            </w:r>
          </w:p>
          <w:p>
            <w:pPr>
              <w:spacing w:after="80" w:line="252" w:lineRule="auto"/>
            </w:pPr>
            <w:r>
              <w:rPr>
                <w:rFonts w:ascii="Arial" w:hAnsi="Arial"/>
                <w:sz w:val="20"/>
              </w:rPr>
              <w:t>The market does not receive a right to continuity merely because the harm was distributed through corporate structure.</w:t>
            </w:r>
          </w:p>
        </w:tc>
      </w:tr>
    </w:tbl>
    <w:p>
      <w:pPr>
        <w:widowControl/>
        <w:spacing w:after="20"/>
      </w:pP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56E"/>
        <w:sz w:val="16"/>
      </w:rPr>
      <w:t xml:space="preserve">Stacey Kahns-Gray  |  Rebuild-or-Remove Revision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C656E"/>
        <w:sz w:val="16"/>
      </w:rPr>
      <w:t>CORRECTION AND CONTAINMENT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b/>
      <w:bCs/>
      <w:color w:val="193752"/>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b/>
      <w:bCs/>
      <w:color w:val="1B797C"/>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rial" w:hAnsi="Arial"/>
      <w:b/>
      <w:color w:val="193752"/>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Arial" w:hAnsi="Arial"/>
      <w:b/>
      <w:i/>
      <w:iCs/>
      <w:color w:val="1B797C"/>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el">
    <w:name w:val="Label"/>
    <w:pPr>
      <w:keepNext/>
      <w:spacing w:before="120" w:after="40"/>
    </w:pPr>
    <w:rPr>
      <w:rFonts w:ascii="Arial" w:hAnsi="Arial"/>
      <w:b/>
      <w:color w:val="193752"/>
      <w:sz w:val="21"/>
    </w:rPr>
  </w:style>
  <w:style w:type="paragraph" w:customStyle="1" w:styleId="CompactBullet">
    <w:name w:val="Compact Bullet"/>
    <w:basedOn w:val="ListBullet"/>
    <w:pPr>
      <w:spacing w:after="30" w:line="245" w:lineRule="auto"/>
      <w:ind w:left="403" w:hanging="259"/>
    </w:pPr>
    <w:rPr>
      <w:rFonts w:ascii="Arial" w:hAnsi="Arial"/>
      <w:sz w:val="20"/>
    </w:rPr>
  </w:style>
  <w:style w:type="paragraph" w:customStyle="1" w:styleId="CompactNumber">
    <w:name w:val="Compact Number"/>
    <w:basedOn w:val="ListNumber"/>
    <w:pPr>
      <w:spacing w:after="40"/>
      <w:ind w:left="461" w:hanging="288"/>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Correction and Containment Architecture: Rebuild-or-Remove Model</dc:title>
  <dc:subject>Structural correction, containment, underwriting, and disposition architecture</dc:subject>
  <dc:creator>Stacey Kahns-Gray</dc:creator>
  <cp:keywords>correction, containment, sexual reward-loop market, child protection, underwriting, rebuild or remove</cp:keywords>
  <dc:description>generated by python-docx</dc:description>
  <cp:lastModifiedBy/>
  <cp:revision>1</cp:revision>
  <dcterms:created xsi:type="dcterms:W3CDTF">2013-12-23T23:15:00Z</dcterms:created>
  <dcterms:modified xsi:type="dcterms:W3CDTF">2013-12-23T23:15:00Z</dcterms:modified>
  <cp:category/>
</cp:coreProperties>
</file>