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STATUTS de la Société en Nom Collectif « TUE Père et Fils »</w:t>
      </w:r>
    </w:p>
    <w:p>
      <w:pPr>
        <w:jc w:val="center"/>
      </w:pPr>
      <w:r>
        <w:rPr>
          <w:b w:val="0"/>
          <w:i w:val="0"/>
        </w:rPr>
        <w:t>Acte reçu par Me André BILLON, notaire à Beauvoir-sur-Mer (Vendée), le 2 février 1968 – Dépôt n° 1, Greffe du Tribunal de Commerce de La Roche-sur-Yon.</w:t>
      </w:r>
    </w:p>
    <w:tbl>
      <w:tblPr>
        <w:tblStyle w:val="LightGrid-Accent2"/>
        <w:tblW w:type="auto" w:w="0"/>
        <w:tblLook w:firstColumn="1" w:firstRow="1" w:lastColumn="0" w:lastRow="0" w:noHBand="0" w:noVBand="1" w:val="04A0"/>
      </w:tblPr>
      <w:tblGrid>
        <w:gridCol w:w="4816"/>
        <w:gridCol w:w="4816"/>
      </w:tblGrid>
      <w:tr>
        <w:tc>
          <w:tcPr>
            <w:tcW w:type="dxa" w:w="4816"/>
          </w:tcPr>
          <w:p>
            <w:r>
              <w:rPr>
                <w:b/>
              </w:rPr>
              <w:t>Forme</w:t>
            </w:r>
          </w:p>
        </w:tc>
        <w:tc>
          <w:tcPr>
            <w:tcW w:type="dxa" w:w="4816"/>
          </w:tcPr>
          <w:p>
            <w:r>
              <w:t>Société en nom collectif (loi du 24 juillet 1966)</w:t>
            </w:r>
          </w:p>
        </w:tc>
      </w:tr>
      <w:tr>
        <w:tc>
          <w:tcPr>
            <w:tcW w:type="dxa" w:w="4816"/>
          </w:tcPr>
          <w:p>
            <w:r>
              <w:rPr>
                <w:b/>
              </w:rPr>
              <w:t>Raison sociale</w:t>
            </w:r>
          </w:p>
        </w:tc>
        <w:tc>
          <w:tcPr>
            <w:tcW w:type="dxa" w:w="4816"/>
          </w:tcPr>
          <w:p>
            <w:r>
              <w:t>« TUE Père et Fils »</w:t>
            </w:r>
          </w:p>
        </w:tc>
      </w:tr>
      <w:tr>
        <w:tc>
          <w:tcPr>
            <w:tcW w:type="dxa" w:w="4816"/>
          </w:tcPr>
          <w:p>
            <w:r>
              <w:rPr>
                <w:b/>
              </w:rPr>
              <w:t>Siège</w:t>
            </w:r>
          </w:p>
        </w:tc>
        <w:tc>
          <w:tcPr>
            <w:tcW w:type="dxa" w:w="4816"/>
          </w:tcPr>
          <w:p>
            <w:r>
              <w:t>Beauvoir-sur-Mer (Vendée), Grande Rue, n° 16</w:t>
            </w:r>
          </w:p>
        </w:tc>
      </w:tr>
      <w:tr>
        <w:tc>
          <w:tcPr>
            <w:tcW w:type="dxa" w:w="4816"/>
          </w:tcPr>
          <w:p>
            <w:r>
              <w:rPr>
                <w:b/>
              </w:rPr>
              <w:t>Objet</w:t>
            </w:r>
          </w:p>
        </w:tc>
        <w:tc>
          <w:tcPr>
            <w:tcW w:type="dxa" w:w="4816"/>
          </w:tcPr>
          <w:p>
            <w:r>
              <w:t>Charronnage, menuiserie-charpente, fabrique de meubles et installations de magasins</w:t>
            </w:r>
          </w:p>
        </w:tc>
      </w:tr>
      <w:tr>
        <w:tc>
          <w:tcPr>
            <w:tcW w:type="dxa" w:w="4816"/>
          </w:tcPr>
          <w:p>
            <w:r>
              <w:rPr>
                <w:b/>
              </w:rPr>
              <w:t>Durée</w:t>
            </w:r>
          </w:p>
        </w:tc>
        <w:tc>
          <w:tcPr>
            <w:tcW w:type="dxa" w:w="4816"/>
          </w:tcPr>
          <w:p>
            <w:r>
              <w:t>40 ans à compter du 2 février 1968</w:t>
            </w:r>
          </w:p>
        </w:tc>
      </w:tr>
      <w:tr>
        <w:tc>
          <w:tcPr>
            <w:tcW w:type="dxa" w:w="4816"/>
          </w:tcPr>
          <w:p>
            <w:r>
              <w:rPr>
                <w:b/>
              </w:rPr>
              <w:t>Capital</w:t>
            </w:r>
          </w:p>
        </w:tc>
        <w:tc>
          <w:tcPr>
            <w:tcW w:type="dxa" w:w="4816"/>
          </w:tcPr>
          <w:p>
            <w:r>
              <w:t>50 000 F – 500 parts de 100 F (41 000 F en nature : fonds de commerce ; 9 000 F en numéraire)</w:t>
            </w:r>
          </w:p>
        </w:tc>
      </w:tr>
      <w:tr>
        <w:tc>
          <w:tcPr>
            <w:tcW w:type="dxa" w:w="4816"/>
          </w:tcPr>
          <w:p>
            <w:r>
              <w:rPr>
                <w:b/>
              </w:rPr>
              <w:t>Associés et gérants</w:t>
            </w:r>
          </w:p>
        </w:tc>
        <w:tc>
          <w:tcPr>
            <w:tcW w:type="dxa" w:w="4816"/>
          </w:tcPr>
          <w:p>
            <w:r>
              <w:t>Jean TUE (parts 1 à 250) et Gaston TUE, son fils (parts 251 à 500)</w:t>
            </w:r>
          </w:p>
        </w:tc>
      </w:tr>
      <w:tr>
        <w:tc>
          <w:tcPr>
            <w:tcW w:type="dxa" w:w="4816"/>
          </w:tcPr>
          <w:p>
            <w:r>
              <w:rPr>
                <w:b/>
              </w:rPr>
              <w:t>Enregistrement</w:t>
            </w:r>
          </w:p>
        </w:tc>
        <w:tc>
          <w:tcPr>
            <w:tcW w:type="dxa" w:w="4816"/>
          </w:tcPr>
          <w:p>
            <w:r>
              <w:t>Challans, Actes Civils, 7 février 1968, bordereau 82/10</w:t>
            </w:r>
          </w:p>
        </w:tc>
      </w:tr>
    </w:tbl>
    <w:p>
      <w:r>
        <w:rPr>
          <w:b w:val="0"/>
          <w:i/>
          <w:color w:val="666666"/>
          <w:sz w:val="18"/>
        </w:rPr>
        <w:t>Note de transcription. Retranscription intégrale et fidèle de l'expédition dactylographiée de 26 pages (les 26 versos portant la mention « Face annulée » ont été omis). Orthographe et formulation d'origine conservées ; seuls les accents sur les majuscules ont été rétablis. En bleu italique : mentions ajoutées à la main ou à la machine dans les blancs de l'imprimé. Texte barré : mots rayés dans l'original. [renvoi en marge] : texte porté en marge et approuvé par les parties. Les remarques entre crochets en gris sont du transcripteur. Ce document facilite la lecture et ne remplace pas l'expédition authentique.</w:t>
      </w:r>
    </w:p>
    <w:p>
      <w:pPr>
        <w:jc w:val="right"/>
      </w:pPr>
      <w:r>
        <w:rPr>
          <w:b/>
          <w:i w:val="0"/>
        </w:rPr>
        <w:t>2 Février 1968</w:t>
      </w:r>
    </w:p>
    <w:p>
      <w:pPr>
        <w:jc w:val="center"/>
      </w:pPr>
      <w:r>
        <w:rPr>
          <w:b/>
          <w:i w:val="0"/>
        </w:rPr>
        <w:t>STATUTS</w:t>
      </w:r>
    </w:p>
    <w:p>
      <w:pPr>
        <w:jc w:val="center"/>
      </w:pPr>
      <w:r>
        <w:rPr>
          <w:b/>
          <w:i w:val="0"/>
        </w:rPr>
        <w:t>de la Société en Nom Collectif « TUE Père et Fils »</w:t>
      </w:r>
    </w:p>
    <w:p>
      <w:r>
        <w:rPr>
          <w:b w:val="0"/>
          <w:i/>
          <w:color w:val="666666"/>
          <w:sz w:val="19"/>
        </w:rPr>
        <w:t>En marge : n° 55219 – N° 4.666 – Cachet « République Française » et timbre de l'étude, mention d'enregistrement du 12 février 1968.</w:t>
      </w:r>
    </w:p>
    <w:p>
      <w:pPr>
        <w:ind w:firstLine="454"/>
        <w:jc w:val="both"/>
      </w:pPr>
      <w:r>
        <w:rPr>
          <w:b w:val="0"/>
          <w:i w:val="0"/>
        </w:rPr>
        <w:t>PARDEVANT Me André BILLON, notaire à Beauvoir-sur-Mer (Vendée), soussigné,</w:t>
      </w:r>
    </w:p>
    <w:p>
      <w:pPr>
        <w:pStyle w:val="Heading2"/>
      </w:pPr>
      <w:r>
        <w:t>ONT COMPARU :</w:t>
      </w:r>
    </w:p>
    <w:p>
      <w:pPr>
        <w:ind w:firstLine="454"/>
        <w:jc w:val="both"/>
      </w:pPr>
      <w:r>
        <w:rPr>
          <w:b w:val="0"/>
          <w:i w:val="0"/>
        </w:rPr>
        <w:t>Monsieur Jean Marie Henri Auguste Charles TUE, menuisier, demeurant à Beauvoir-sur-Mer, Grande Rue, numéro 16, époux de Madame Esther Louise Marguerite Marie RACOIS, avec laquelle il est marié sous le régime légal de la communauté de biens meubles et acquêts par suite de leur mariage célébré sans contrat préalable à la mairie de Beauvoir-sur-Mer le vingt sept août mil neuf cent trente cinq. (Ce régime n'a subi aucune modification soit par une déclaration notariée d'option en faveur du nouveau régime, soit par un changement de régime depuis le premier février mil neuf cent soixante six).</w:t>
      </w:r>
    </w:p>
    <w:p>
      <w:pPr>
        <w:ind w:firstLine="454"/>
        <w:jc w:val="both"/>
      </w:pPr>
      <w:r>
        <w:rPr>
          <w:b w:val="0"/>
          <w:i w:val="0"/>
        </w:rPr>
        <w:t>Né à Beauvoir-sur-Mer le quatre juillet mil neuf cent onze.</w:t>
      </w:r>
    </w:p>
    <w:p>
      <w:pPr>
        <w:jc w:val="right"/>
      </w:pPr>
      <w:r>
        <w:rPr>
          <w:b/>
          <w:i w:val="0"/>
        </w:rPr>
        <w:t>D'UNE PART.</w:t>
      </w:r>
    </w:p>
    <w:p>
      <w:pPr>
        <w:ind w:firstLine="454"/>
        <w:jc w:val="both"/>
      </w:pPr>
      <w:r>
        <w:rPr>
          <w:b w:val="0"/>
          <w:i w:val="0"/>
        </w:rPr>
        <w:t>Et Monsieur Gaston Jean Louis Joseph TUE, menuisier, demeurant à Beauvoir-sur-Mer, Grande Rue, Numéro 14, époux de Madame Juliette Christiane CHARRIER, avec laquelle il est marié sous le régime légal de la communauté de biens meubles et acquêts par suite de leur mariage célébré sans contrat préalable à la mairie de Bouin (Vendée) le vingt deux octobre mil neuf cent soixante. (Ce régime n'a subi aucune modification soit par une déclaration notariée d'option en faveur du nouveau régime, soit par un changement de régime depuis le premier février mil neuf cent soixante six).</w:t>
      </w:r>
    </w:p>
    <w:p>
      <w:pPr>
        <w:ind w:firstLine="454"/>
        <w:jc w:val="both"/>
      </w:pPr>
      <w:r>
        <w:rPr>
          <w:b w:val="0"/>
          <w:i w:val="0"/>
        </w:rPr>
        <w:t>Né à Beauvoir-sur-Mer le vingt cinq décembre mil neuf cent trente six.</w:t>
      </w:r>
    </w:p>
    <w:p>
      <w:pPr>
        <w:jc w:val="right"/>
      </w:pPr>
      <w:r>
        <w:rPr>
          <w:b/>
          <w:i w:val="0"/>
        </w:rPr>
        <w:t>D'AUTRE PART.</w:t>
      </w:r>
    </w:p>
    <w:p>
      <w:pPr>
        <w:ind w:firstLine="454"/>
        <w:jc w:val="both"/>
      </w:pPr>
      <w:r>
        <w:rPr>
          <w:b w:val="0"/>
          <w:i w:val="0"/>
        </w:rPr>
        <w:t>LESQUELS ont établi, ainsi qu'il suit, les statuts d'une société en nom collectif qu'ils ont décidé de constituer entre eux.</w:t>
      </w:r>
    </w:p>
    <w:p>
      <w:pPr>
        <w:pStyle w:val="Heading2"/>
      </w:pPr>
      <w:r>
        <w:t>ARTICLE 1er – FORMATION</w:t>
      </w:r>
    </w:p>
    <w:p>
      <w:pPr>
        <w:ind w:firstLine="454"/>
        <w:jc w:val="both"/>
      </w:pPr>
      <w:r>
        <w:rPr>
          <w:b w:val="0"/>
          <w:i w:val="0"/>
        </w:rPr>
        <w:t>Il est formé entre les comparants une Société en nom collectif qui sera régie par la loi du vingt quatre juillet mil neuf cent soixante six, par toutes dispositions légales nouvelles ainsi que par les présents statuts.</w:t>
      </w:r>
    </w:p>
    <w:p>
      <w:pPr>
        <w:pStyle w:val="Heading2"/>
      </w:pPr>
      <w:r>
        <w:t>ARTICLE 2 – OBJET</w:t>
      </w:r>
    </w:p>
    <w:p>
      <w:pPr>
        <w:ind w:firstLine="454"/>
        <w:jc w:val="both"/>
      </w:pPr>
      <w:r>
        <w:rPr>
          <w:b w:val="0"/>
          <w:i w:val="0"/>
        </w:rPr>
        <w:t>Cette Société a pour objet :</w:t>
      </w:r>
    </w:p>
    <w:p>
      <w:r>
        <w:rPr>
          <w:b w:val="0"/>
          <w:i w:val="0"/>
        </w:rPr>
        <w:t xml:space="preserve">– L'exploitation de tous fonds de commerce </w:t>
      </w:r>
      <w:r>
        <w:rPr>
          <w:b w:val="0"/>
          <w:i w:val="0"/>
          <w:strike/>
          <w:color w:val="999999"/>
        </w:rPr>
        <w:t>et artisanaux</w:t>
      </w:r>
      <w:r>
        <w:rPr>
          <w:b w:val="0"/>
          <w:i w:val="0"/>
        </w:rPr>
        <w:t xml:space="preserve"> de charronnage, menuiserie-charpente, fabrique de meubles et installations de magasins.</w:t>
      </w:r>
    </w:p>
    <w:p>
      <w:r>
        <w:rPr>
          <w:b w:val="0"/>
          <w:i w:val="0"/>
        </w:rPr>
        <w:t>– L'exploitation de toutes succursales de tous dépôts de marchandises, toutes participations dans toutes affaires similaires ou non pouvant intéresser la Société ou favoriser son développement.</w:t>
      </w:r>
    </w:p>
    <w:p>
      <w:r>
        <w:rPr>
          <w:b w:val="0"/>
          <w:i w:val="0"/>
        </w:rPr>
        <w:t>– Et d'une manière générale, toutes opérations financières, commerciales, industrielles, mobilières et immobilières pouvant se rattacher directement à l'objet social dont les différents éléments viennent d'être précisés.</w:t>
      </w:r>
    </w:p>
    <w:p>
      <w:pPr>
        <w:pStyle w:val="Heading2"/>
      </w:pPr>
      <w:r>
        <w:t>ARTICLE 3 – DURÉE</w:t>
      </w:r>
    </w:p>
    <w:p>
      <w:pPr>
        <w:ind w:firstLine="454"/>
        <w:jc w:val="both"/>
      </w:pPr>
      <w:r>
        <w:rPr>
          <w:b w:val="0"/>
          <w:i w:val="0"/>
        </w:rPr>
        <w:t xml:space="preserve">La durée de la Société est fixée à </w:t>
      </w:r>
      <w:r>
        <w:rPr>
          <w:b w:val="0"/>
          <w:i/>
          <w:color w:val="1F3F7A"/>
        </w:rPr>
        <w:t>Quarante</w:t>
      </w:r>
      <w:r>
        <w:rPr>
          <w:b w:val="0"/>
          <w:i w:val="0"/>
        </w:rPr>
        <w:t xml:space="preserve"> années entières à compter de ce jour, sauf dissolution anticipée ou prorogation.</w:t>
      </w:r>
    </w:p>
    <w:p>
      <w:pPr>
        <w:ind w:firstLine="454"/>
        <w:jc w:val="both"/>
      </w:pPr>
      <w:r>
        <w:rPr>
          <w:b w:val="0"/>
          <w:i w:val="0"/>
        </w:rPr>
        <w:t xml:space="preserve">Toutefois, chaque associé aura le droit de la faire cesser à l'une des périodes suivantes : Trente et un décembre mil neuf cent </w:t>
      </w:r>
      <w:r>
        <w:rPr>
          <w:b w:val="0"/>
          <w:i/>
          <w:color w:val="1F3F7A"/>
        </w:rPr>
        <w:t>soixante treize</w:t>
      </w:r>
      <w:r>
        <w:rPr>
          <w:b w:val="0"/>
          <w:i w:val="0"/>
        </w:rPr>
        <w:t xml:space="preserve"> ; Trente et un décembre mil neuf cent </w:t>
      </w:r>
      <w:r>
        <w:rPr>
          <w:b w:val="0"/>
          <w:i/>
          <w:color w:val="1F3F7A"/>
        </w:rPr>
        <w:t>soixante dix huit</w:t>
      </w:r>
      <w:r>
        <w:rPr>
          <w:b w:val="0"/>
          <w:i w:val="0"/>
        </w:rPr>
        <w:t xml:space="preserve"> et ainsi de suite de </w:t>
      </w:r>
      <w:r>
        <w:rPr>
          <w:b w:val="0"/>
          <w:i/>
          <w:color w:val="1F3F7A"/>
        </w:rPr>
        <w:t>Cinq</w:t>
      </w:r>
      <w:r>
        <w:rPr>
          <w:b w:val="0"/>
          <w:i w:val="0"/>
        </w:rPr>
        <w:t xml:space="preserve"> ans en </w:t>
      </w:r>
      <w:r>
        <w:rPr>
          <w:b w:val="0"/>
          <w:i/>
          <w:color w:val="1F3F7A"/>
        </w:rPr>
        <w:t>Cinq</w:t>
      </w:r>
      <w:r>
        <w:rPr>
          <w:b w:val="0"/>
          <w:i w:val="0"/>
        </w:rPr>
        <w:t xml:space="preserve"> ans jusqu'à l'expiration de la Société, à condition de prévenir son ou ses co-associés six mois au moins à l'avance par lettre recommandée et sauf, dans ce cas, la faculté de rachat accordée aux autres associés par l'article </w:t>
      </w:r>
      <w:r>
        <w:rPr>
          <w:b w:val="0"/>
          <w:i/>
          <w:color w:val="1F3F7A"/>
        </w:rPr>
        <w:t>24</w:t>
      </w:r>
      <w:r>
        <w:rPr>
          <w:b w:val="0"/>
          <w:i w:val="0"/>
        </w:rPr>
        <w:t xml:space="preserve"> ci-après.</w:t>
      </w:r>
    </w:p>
    <w:p>
      <w:pPr>
        <w:ind w:firstLine="454"/>
        <w:jc w:val="both"/>
      </w:pPr>
      <w:r>
        <w:rPr>
          <w:b w:val="0"/>
          <w:i w:val="0"/>
        </w:rPr>
        <w:t>Un an au moins avant la date d'expiration de la Société, les gérants devront provoquer une réunion de la collectivité des associés pour décider dans les conditions requises pour une modification aux présents statuts, si la Société doit être prorogée ou non.</w:t>
      </w:r>
    </w:p>
    <w:p>
      <w:pPr>
        <w:ind w:firstLine="454"/>
        <w:jc w:val="both"/>
      </w:pPr>
      <w:r>
        <w:rPr>
          <w:b w:val="0"/>
          <w:i w:val="0"/>
        </w:rPr>
        <w:t>Faute par eux d'avoir provoqué cette décision, tout associé, après mise en demeure par lettre recommandée demeurée infructueuse, pourra demander au président du Tribunal de Commerce du lieu du siège social, statuant sur requête, la désignation d'un mandataire de justice chargé de consulter les associés et de provoquer une décision de leur part sur la question.</w:t>
      </w:r>
    </w:p>
    <w:p>
      <w:pPr>
        <w:pStyle w:val="Heading2"/>
      </w:pPr>
      <w:r>
        <w:t>ARTICLE 4 – SIÈGE SOCIAL</w:t>
      </w:r>
    </w:p>
    <w:p>
      <w:pPr>
        <w:ind w:firstLine="454"/>
        <w:jc w:val="both"/>
      </w:pPr>
      <w:r>
        <w:rPr>
          <w:b w:val="0"/>
          <w:i w:val="0"/>
        </w:rPr>
        <w:t>Le siège social est fixé à Beauvoir-sur-Mer, Grande Rue, Numéro 16.</w:t>
      </w:r>
    </w:p>
    <w:p>
      <w:pPr>
        <w:ind w:firstLine="454"/>
        <w:jc w:val="both"/>
      </w:pPr>
      <w:r>
        <w:rPr>
          <w:b w:val="0"/>
          <w:i w:val="0"/>
        </w:rPr>
        <w:t>Il pourra être transféré dans tout autre lieu par décision de l'unanimité des associés.</w:t>
      </w:r>
    </w:p>
    <w:p>
      <w:pPr>
        <w:pStyle w:val="Heading2"/>
      </w:pPr>
      <w:r>
        <w:t>ARTICLE 5 – RAISON SOCIALE</w:t>
      </w:r>
    </w:p>
    <w:p>
      <w:pPr>
        <w:ind w:firstLine="454"/>
        <w:jc w:val="both"/>
      </w:pPr>
      <w:r>
        <w:rPr>
          <w:b w:val="0"/>
          <w:i w:val="0"/>
        </w:rPr>
        <w:t xml:space="preserve">La raison sociale sera : « </w:t>
      </w:r>
      <w:r>
        <w:rPr>
          <w:b w:val="0"/>
          <w:i/>
          <w:color w:val="1F3F7A"/>
        </w:rPr>
        <w:t>TUE Père et Fils</w:t>
      </w:r>
      <w:r>
        <w:rPr>
          <w:b w:val="0"/>
          <w:i w:val="0"/>
        </w:rPr>
        <w:t xml:space="preserve"> ».</w:t>
      </w:r>
    </w:p>
    <w:p>
      <w:pPr>
        <w:pStyle w:val="Heading2"/>
      </w:pPr>
      <w:r>
        <w:t>ARTICLE 6 – APPORTS</w:t>
      </w:r>
    </w:p>
    <w:p>
      <w:pPr>
        <w:ind w:firstLine="454"/>
        <w:jc w:val="both"/>
      </w:pPr>
      <w:r>
        <w:rPr>
          <w:b w:val="0"/>
          <w:i w:val="0"/>
        </w:rPr>
        <w:t>Les comparants apportent ensemble à la Société chacun pour moitié :</w:t>
      </w:r>
    </w:p>
    <w:p>
      <w:pPr>
        <w:ind w:firstLine="454"/>
        <w:jc w:val="both"/>
      </w:pPr>
      <w:r>
        <w:rPr>
          <w:b w:val="0"/>
          <w:i w:val="0"/>
        </w:rPr>
        <w:t>I – Un fonds de commerce et artisanal de menuiserie-charpente et charronnage, exploité à Beauvoir-sur-Mer, Grande Rue, Numéro 16, immatriculé au Registre du Commerce des Sables d'Olonne sous le Numéro 55-A-144, au Registre des Métiers sous le Numéro 3.928 et à l'Institut National de la Statistique et des Etudes Economiques sous le Numéro 332.85.018.0008, comprenant :</w:t>
      </w:r>
    </w:p>
    <w:p>
      <w:pPr>
        <w:ind w:firstLine="454"/>
        <w:jc w:val="both"/>
      </w:pPr>
      <w:r>
        <w:rPr>
          <w:b w:val="0"/>
          <w:i w:val="0"/>
        </w:rPr>
        <w:t xml:space="preserve">a) L'enseigne, le nom commercial, la clientèle et l'achalandage y attachés ; l'ensemble d'une valeur de </w:t>
      </w:r>
      <w:r>
        <w:rPr>
          <w:b w:val="0"/>
          <w:i/>
          <w:color w:val="1F3F7A"/>
        </w:rPr>
        <w:t>Neuf mille quatre cent quarante huit francs dix neuf centimes</w:t>
      </w:r>
      <w:r>
        <w:rPr>
          <w:b w:val="0"/>
          <w:i w:val="0"/>
        </w:rPr>
        <w:t>. Ci …</w:t>
        <w:tab/>
        <w:t>9.448,19</w:t>
      </w:r>
    </w:p>
    <w:p>
      <w:pPr>
        <w:ind w:firstLine="454"/>
        <w:jc w:val="both"/>
      </w:pPr>
      <w:r>
        <w:rPr>
          <w:b w:val="0"/>
          <w:i w:val="0"/>
        </w:rPr>
        <w:t xml:space="preserve">b) Le matériel et le mobilier commercial servant à l'exploitation dudit fonds, le tout décrit et estimé à la somme de </w:t>
      </w:r>
      <w:r>
        <w:rPr>
          <w:b w:val="0"/>
          <w:i/>
          <w:color w:val="1F3F7A"/>
        </w:rPr>
        <w:t>Trente et un mille cinq cent cinquante et un francs quatre vingt un centimes</w:t>
      </w:r>
      <w:r>
        <w:rPr>
          <w:b w:val="0"/>
          <w:i w:val="0"/>
        </w:rPr>
        <w:t xml:space="preserve"> [renvoi en marge], suivant état établi par les parties à la date du </w:t>
      </w:r>
      <w:r>
        <w:rPr>
          <w:b w:val="0"/>
          <w:i/>
          <w:color w:val="1F3F7A"/>
        </w:rPr>
        <w:t>deux février</w:t>
      </w:r>
      <w:r>
        <w:rPr>
          <w:b w:val="0"/>
          <w:i w:val="0"/>
        </w:rPr>
        <w:t xml:space="preserve"> mil neuf cent soixante huit, certifié véritable par elles et qui est demeuré ci-annexé après mention. Ci …</w:t>
        <w:tab/>
        <w:t>31.551,81</w:t>
      </w:r>
    </w:p>
    <w:p>
      <w:pPr>
        <w:jc w:val="right"/>
      </w:pPr>
      <w:r>
        <w:rPr>
          <w:b/>
          <w:i w:val="0"/>
        </w:rPr>
        <w:t>À REPORTER : 41.000,00</w:t>
      </w:r>
    </w:p>
    <w:p>
      <w:pPr>
        <w:jc w:val="right"/>
      </w:pPr>
      <w:r>
        <w:rPr>
          <w:b/>
          <w:i w:val="0"/>
        </w:rPr>
        <w:t>REPORT : 41.000,00</w:t>
      </w:r>
    </w:p>
    <w:p>
      <w:pPr>
        <w:ind w:firstLine="454"/>
        <w:jc w:val="both"/>
      </w:pPr>
      <w:r>
        <w:rPr>
          <w:b w:val="0"/>
          <w:i w:val="0"/>
        </w:rPr>
        <w:t xml:space="preserve">Valeur totale du fonds de commerce apporté : </w:t>
      </w:r>
      <w:r>
        <w:rPr>
          <w:b w:val="0"/>
          <w:i/>
          <w:color w:val="1F3F7A"/>
        </w:rPr>
        <w:t>Quarante et un mille francs</w:t>
      </w:r>
      <w:r>
        <w:rPr>
          <w:b w:val="0"/>
          <w:i w:val="0"/>
        </w:rPr>
        <w:t>. Ci …</w:t>
        <w:tab/>
        <w:t>41.000,00</w:t>
      </w:r>
    </w:p>
    <w:p>
      <w:pPr>
        <w:ind w:firstLine="454"/>
        <w:jc w:val="both"/>
      </w:pPr>
      <w:r>
        <w:rPr>
          <w:b w:val="0"/>
          <w:i w:val="0"/>
        </w:rPr>
        <w:t xml:space="preserve">II – La somme de </w:t>
      </w:r>
      <w:r>
        <w:rPr>
          <w:b w:val="0"/>
          <w:i/>
          <w:color w:val="1F3F7A"/>
        </w:rPr>
        <w:t>Neuf mille</w:t>
      </w:r>
      <w:r>
        <w:rPr>
          <w:b w:val="0"/>
          <w:i w:val="0"/>
        </w:rPr>
        <w:t xml:space="preserve"> FRANCS qu'ils ont versé en espèces dans la Caisse sociale, ainsi qu'</w:t>
      </w:r>
      <w:r>
        <w:rPr>
          <w:b w:val="0"/>
          <w:i w:val="0"/>
          <w:strike/>
          <w:color w:val="999999"/>
        </w:rPr>
        <w:t>ils le déclarent</w:t>
      </w:r>
      <w:r>
        <w:rPr>
          <w:b w:val="0"/>
          <w:i w:val="0"/>
        </w:rPr>
        <w:t xml:space="preserve"> il résulte de la comptabilité du notaire soussigné [renvoi en marge]. Ci …</w:t>
        <w:tab/>
        <w:t>9.000,00</w:t>
      </w:r>
    </w:p>
    <w:p>
      <w:pPr>
        <w:ind w:firstLine="454"/>
        <w:jc w:val="both"/>
      </w:pPr>
      <w:r>
        <w:rPr>
          <w:b w:val="0"/>
          <w:i w:val="0"/>
        </w:rPr>
        <w:t>De telle sorte que le total des apports fait à la présente Société est de Cinquante mille francs. Ci …</w:t>
        <w:tab/>
        <w:t>50.000,00</w:t>
      </w:r>
    </w:p>
    <w:p>
      <w:pPr>
        <w:ind w:firstLine="454"/>
        <w:jc w:val="both"/>
      </w:pPr>
      <w:r>
        <w:rPr>
          <w:b w:val="0"/>
          <w:i w:val="0"/>
        </w:rPr>
        <w:t>Dont la moitié apportée par chacun des associés : 1/2</w:t>
      </w:r>
    </w:p>
    <w:p>
      <w:pPr>
        <w:ind w:firstLine="454"/>
        <w:jc w:val="both"/>
      </w:pPr>
      <w:r>
        <w:rPr>
          <w:b w:val="0"/>
          <w:i w:val="0"/>
        </w:rPr>
        <w:t xml:space="preserve">Est de : </w:t>
      </w:r>
      <w:r>
        <w:rPr>
          <w:b w:val="0"/>
          <w:i/>
          <w:color w:val="1F3F7A"/>
        </w:rPr>
        <w:t>Vingt cinq mille francs</w:t>
      </w:r>
      <w:r>
        <w:rPr>
          <w:b w:val="0"/>
          <w:i w:val="0"/>
        </w:rPr>
        <w:t>. Ci …</w:t>
        <w:tab/>
        <w:t>25.000,00</w:t>
      </w:r>
    </w:p>
    <w:p>
      <w:pPr>
        <w:pStyle w:val="Heading2"/>
      </w:pPr>
      <w:r>
        <w:t>ARTICLE 7 – CHARGES ET CONDITIONS DES APPORTS EN NATURE</w:t>
      </w:r>
    </w:p>
    <w:p>
      <w:pPr>
        <w:ind w:firstLine="454"/>
        <w:jc w:val="both"/>
      </w:pPr>
      <w:r>
        <w:rPr>
          <w:b w:val="0"/>
          <w:i w:val="0"/>
        </w:rPr>
        <w:t>La présente Société aura, à compter de ce jour la propriété du fonds apporté et elle en aura la jouissance à compter d'aujourd'hui également.</w:t>
      </w:r>
    </w:p>
    <w:p>
      <w:pPr>
        <w:ind w:firstLine="454"/>
        <w:jc w:val="both"/>
      </w:pPr>
      <w:r>
        <w:rPr>
          <w:b w:val="0"/>
          <w:i w:val="0"/>
        </w:rPr>
        <w:t>Cet apport est fait net de tout passif, sous les charges et conditions suivantes que la présente Société sera tenue d'exécuter et d'accomplir :</w:t>
      </w:r>
    </w:p>
    <w:p>
      <w:pPr>
        <w:ind w:firstLine="454"/>
        <w:jc w:val="both"/>
      </w:pPr>
      <w:r>
        <w:rPr>
          <w:b w:val="0"/>
          <w:i w:val="0"/>
        </w:rPr>
        <w:t>1° – De prendre le fonds de commerce présentement apporté dans son état actuel sans pouvoir exercer aucun recours contre les apporteurs pour quelque cause que ce soit.</w:t>
      </w:r>
    </w:p>
    <w:p>
      <w:pPr>
        <w:ind w:firstLine="454"/>
        <w:jc w:val="both"/>
      </w:pPr>
      <w:r>
        <w:rPr>
          <w:b w:val="0"/>
          <w:i w:val="0"/>
        </w:rPr>
        <w:t>2° – De supporter, à compter du jour de l'entrée en jouissance, toutes les charges relatives à l'exploitation du fonds apporté (patentes, impôts, loyers, assurances, eau, téléphone, électricité, appointements, salaires, etc...).</w:t>
      </w:r>
    </w:p>
    <w:p>
      <w:pPr>
        <w:ind w:firstLine="454"/>
        <w:jc w:val="both"/>
      </w:pPr>
      <w:r>
        <w:rPr>
          <w:b w:val="0"/>
          <w:i w:val="0"/>
        </w:rPr>
        <w:t>3° – De continuer les baux, les assurances de toute nature, les abonnements, traités, marchés et accords qui ont pu être passés pour l'exploitation du fonds apporté, le tout aux risques et périls de la Société présentement constituée et à compter du jour de son entrée en jouissance.</w:t>
      </w:r>
    </w:p>
    <w:p>
      <w:pPr>
        <w:ind w:firstLine="454"/>
        <w:jc w:val="both"/>
      </w:pPr>
      <w:r>
        <w:rPr>
          <w:b w:val="0"/>
          <w:i w:val="0"/>
        </w:rPr>
        <w:t xml:space="preserve">Comme conséquence de leur apport, les comparants s'interdisent de créer ou d'exploiter directement ou indirectement un établissement commercial analogue à celui apporté ou de s'intéresser directement ou indirectement dans l'exploitation d'un semblable établissement ou de s'en occuper dans un rayon de </w:t>
      </w:r>
      <w:r>
        <w:rPr>
          <w:b w:val="0"/>
          <w:i/>
          <w:color w:val="1F3F7A"/>
        </w:rPr>
        <w:t>Quinze kilomètres</w:t>
      </w:r>
      <w:r>
        <w:rPr>
          <w:b w:val="0"/>
          <w:i w:val="0"/>
        </w:rPr>
        <w:t xml:space="preserve"> – à vol d'oiseau – du siège actuel dudit établissement, pendant toute la durée de ladite Société.</w:t>
      </w:r>
    </w:p>
    <w:p>
      <w:pPr>
        <w:ind w:firstLine="454"/>
        <w:jc w:val="both"/>
      </w:pPr>
      <w:r>
        <w:rPr>
          <w:b w:val="0"/>
          <w:i w:val="0"/>
        </w:rPr>
        <w:t xml:space="preserve">La Société </w:t>
      </w:r>
      <w:r>
        <w:rPr>
          <w:b w:val="0"/>
          <w:i w:val="0"/>
          <w:strike/>
          <w:color w:val="999999"/>
        </w:rPr>
        <w:t>ne</w:t>
      </w:r>
      <w:r>
        <w:rPr>
          <w:b w:val="0"/>
          <w:i w:val="0"/>
        </w:rPr>
        <w:t xml:space="preserve"> remplira dans les délais légaux les formalités de publicité prévues par la loi à raison du présent apport de fonds de commerce.</w:t>
      </w:r>
    </w:p>
    <w:p>
      <w:pPr>
        <w:pStyle w:val="Heading2"/>
      </w:pPr>
      <w:r>
        <w:t>ARTICLE 8 – ORIGINE DE PROPRIÉTÉ DU FONDS DE COMMERCE</w:t>
      </w:r>
    </w:p>
    <w:p>
      <w:pPr>
        <w:ind w:firstLine="454"/>
        <w:jc w:val="both"/>
      </w:pPr>
      <w:r>
        <w:rPr>
          <w:b w:val="0"/>
          <w:i w:val="0"/>
        </w:rPr>
        <w:t>Le fonds de commerce faisant l'objet de l'apport qui précède dépend pour une moitié indivise de la communauté légale de meubles et acquêts qui existe entre les époux TUE-RACOIS et appartient pour l'autre moitié indivise, en propre à Monsieur TUE époux CHARRIER, au moyen des faits et actes ci-après :</w:t>
      </w:r>
    </w:p>
    <w:p>
      <w:pPr>
        <w:ind w:firstLine="454"/>
        <w:jc w:val="both"/>
      </w:pPr>
      <w:r>
        <w:rPr>
          <w:b/>
          <w:i w:val="0"/>
        </w:rPr>
        <w:t>I. – ORIGINAIREMENT.</w:t>
      </w:r>
      <w:r>
        <w:rPr>
          <w:b w:val="0"/>
          <w:i w:val="0"/>
        </w:rPr>
        <w:t xml:space="preserve"> – Ledit fonds de commerce dépendait en totalité de la communauté de meubles et acquêts existant entre les époux TUE-RACOIS pour avoir été créé par Monsieur TUE, au cours et pour le compte de ladite communauté le huit avril mil neuf cent quarante cinq, dans le lieu où il est actuellement exploité.</w:t>
      </w:r>
    </w:p>
    <w:p>
      <w:pPr>
        <w:ind w:firstLine="454"/>
        <w:jc w:val="both"/>
      </w:pPr>
      <w:r>
        <w:rPr>
          <w:b/>
          <w:i w:val="0"/>
        </w:rPr>
        <w:t>II. – Donation par Monsieur et Madame TUE-RACOIS.</w:t>
      </w:r>
    </w:p>
    <w:p>
      <w:pPr>
        <w:ind w:firstLine="454"/>
        <w:jc w:val="both"/>
      </w:pPr>
      <w:r>
        <w:rPr>
          <w:b w:val="0"/>
          <w:i w:val="0"/>
        </w:rPr>
        <w:t xml:space="preserve">Suivant acte reçu par Me André BILLON, notaire soussigné, </w:t>
      </w:r>
      <w:r>
        <w:rPr>
          <w:b w:val="0"/>
          <w:i/>
          <w:color w:val="1F3F7A"/>
        </w:rPr>
        <w:t>ce jourd'hui même deux février</w:t>
      </w:r>
      <w:r>
        <w:rPr>
          <w:b w:val="0"/>
          <w:i w:val="0"/>
        </w:rPr>
        <w:t xml:space="preserve"> [renvoi en marge] mil neuf cent soixante huit, Monsieur et Madame TUE-RACOIS, ont fait donation par préciput et hors part à Monsieur Gaston TUE époux CHARRIER, leur fils qui a accepté expressément, de la moitié indivise du fonds de commerce dont s'agit.</w:t>
      </w:r>
    </w:p>
    <w:p>
      <w:pPr>
        <w:ind w:firstLine="454"/>
        <w:jc w:val="both"/>
      </w:pPr>
      <w:r>
        <w:rPr>
          <w:b w:val="0"/>
          <w:i w:val="0"/>
        </w:rPr>
        <w:t>L'entrée en jouissance a été fixée par effet rétroactif au premier janvier mil neuf cent soixante huit.</w:t>
      </w:r>
    </w:p>
    <w:p>
      <w:pPr>
        <w:ind w:firstLine="454"/>
        <w:jc w:val="both"/>
      </w:pPr>
      <w:r>
        <w:rPr>
          <w:b w:val="0"/>
          <w:i w:val="0"/>
        </w:rPr>
        <w:t>Cette donation a eu lieu sans charge.</w:t>
      </w:r>
    </w:p>
    <w:p>
      <w:pPr>
        <w:ind w:firstLine="454"/>
        <w:jc w:val="both"/>
      </w:pPr>
      <w:r>
        <w:rPr>
          <w:b w:val="0"/>
          <w:i w:val="0"/>
        </w:rPr>
        <w:t>Les donateurs ont fait réserve à leur profit chacun en ce qui le concerne, du droit de retour prévu par l'article 951 du Code Civil sur les biens donnés ou sur ce qui serait la représentation pour le cas où le donataire viendrait à décéder avant eux sans enfants ni descendants, et pour le cas encore, où ceux qu'il aurait laissé viendraient eux-mêmes à décéder sans postérité avant les donateurs.</w:t>
      </w:r>
    </w:p>
    <w:p>
      <w:pPr>
        <w:ind w:firstLine="454"/>
        <w:jc w:val="both"/>
      </w:pPr>
      <w:r>
        <w:rPr>
          <w:b w:val="0"/>
          <w:i w:val="0"/>
        </w:rPr>
        <w:t>Et ils ont, en outre, interdit expressément au donataire d'aliéner les biens donnés pendant leur vie et celle du survivant d'eux sans leur consentement et ce, sous peine de révocation de ladite donation, toutefois les donateurs ont, aux termes dudit acte de donation expressément autorisé le donataire à faire apport des biens donnés à la Société présentement constituée.</w:t>
      </w:r>
    </w:p>
    <w:p>
      <w:pPr>
        <w:ind w:firstLine="454"/>
        <w:jc w:val="both"/>
      </w:pPr>
      <w:r>
        <w:rPr>
          <w:b w:val="0"/>
          <w:i w:val="0"/>
        </w:rPr>
        <w:t>En outre il a été expressément stipulé audit acte que les biens donnés seraient exclus de la communauté légale de meubles et acquêts existant entre le donataire et son épouse susnommée et qu'en conséquence lesdits biens appartiendraient en propre audit donataire.</w:t>
      </w:r>
    </w:p>
    <w:p>
      <w:pPr>
        <w:pStyle w:val="Heading2"/>
      </w:pPr>
      <w:r>
        <w:t>ARTICLE 9 – DÉCLARATIONS</w:t>
      </w:r>
    </w:p>
    <w:p>
      <w:pPr>
        <w:ind w:firstLine="454"/>
        <w:jc w:val="both"/>
      </w:pPr>
      <w:r>
        <w:rPr>
          <w:b w:val="0"/>
          <w:i w:val="0"/>
        </w:rPr>
        <w:t>Les comparants déclarent :</w:t>
      </w:r>
    </w:p>
    <w:p>
      <w:pPr>
        <w:ind w:firstLine="454"/>
        <w:jc w:val="both"/>
      </w:pPr>
      <w:r>
        <w:rPr>
          <w:b w:val="0"/>
          <w:i w:val="0"/>
        </w:rPr>
        <w:t>1°/ Que le fonds présentement apporté n'est grevé d'aucun privilège de nantissement.</w:t>
      </w:r>
    </w:p>
    <w:p>
      <w:pPr>
        <w:ind w:firstLine="454"/>
        <w:jc w:val="both"/>
      </w:pPr>
      <w:r>
        <w:rPr>
          <w:b w:val="0"/>
          <w:i w:val="0"/>
        </w:rPr>
        <w:t>2°/ Que le chiffre d'affaires des trois dernières années s'est élevé savoir :</w:t>
      </w:r>
    </w:p>
    <w:p>
      <w:r>
        <w:rPr>
          <w:b w:val="0"/>
          <w:i w:val="0"/>
        </w:rPr>
        <w:t>– Pour l'année mil neuf cent soixante cinq à QUATRE CENT TRENTE SIX MILLE NEUF CENT CINQUANTE TROIS FRANCS SOIXANTE DEUX CENTIMES.</w:t>
      </w:r>
    </w:p>
    <w:p>
      <w:r>
        <w:rPr>
          <w:b w:val="0"/>
          <w:i w:val="0"/>
        </w:rPr>
        <w:t>– Pour l'année mil neuf cent soixante six à CINQ CENT SOIXANTE DIX HUIT MILLE QUATRE CENT SOIXANTE NEUF FRANCS.</w:t>
      </w:r>
    </w:p>
    <w:p>
      <w:r>
        <w:rPr>
          <w:b w:val="0"/>
          <w:i w:val="0"/>
        </w:rPr>
        <w:t>– Pour l'année mil neuf cent soixante sept à CINQ CENT SEIZE MILLE HUIT CENT QUARANTE CINQ FRANCS.</w:t>
      </w:r>
    </w:p>
    <w:p>
      <w:pPr>
        <w:ind w:firstLine="454"/>
        <w:jc w:val="both"/>
      </w:pPr>
      <w:r>
        <w:rPr>
          <w:b w:val="0"/>
          <w:i w:val="0"/>
        </w:rPr>
        <w:t>3°/ Que les bénéfices commerciaux réalisés pendant la même période se sont élevés, savoir :</w:t>
      </w:r>
    </w:p>
    <w:p>
      <w:r>
        <w:rPr>
          <w:b w:val="0"/>
          <w:i w:val="0"/>
        </w:rPr>
        <w:t>– Pour l'année mil neuf cent soixante cinq à CINQUANTE HUIT MILLE NEUF CENT SOIXANTE FRANCS.</w:t>
      </w:r>
    </w:p>
    <w:p>
      <w:r>
        <w:rPr>
          <w:b w:val="0"/>
          <w:i w:val="0"/>
        </w:rPr>
        <w:t>– Pour l'année mil neuf cent soixante six à SOIXANTE DIX SEPT MILLE SEPT CENT VINGT FRANCS.</w:t>
      </w:r>
    </w:p>
    <w:p>
      <w:r>
        <w:rPr>
          <w:b w:val="0"/>
          <w:i w:val="0"/>
        </w:rPr>
        <w:t>– Pour l'année mil neuf cent soixante sept à CINQUANTE CINQ MILLE QUATRE CENT TRENTE FRANCS.</w:t>
      </w:r>
    </w:p>
    <w:p>
      <w:pPr>
        <w:ind w:firstLine="454"/>
        <w:jc w:val="both"/>
      </w:pPr>
      <w:r>
        <w:rPr>
          <w:b w:val="0"/>
          <w:i w:val="0"/>
        </w:rPr>
        <w:t>4°/ Que tous les livres de comptabilité qui se réfèrent auxdites années ont fait l'objet d'un inventaire signé par les associés.</w:t>
      </w:r>
    </w:p>
    <w:p>
      <w:pPr>
        <w:ind w:firstLine="454"/>
        <w:jc w:val="both"/>
      </w:pPr>
      <w:r>
        <w:rPr>
          <w:b w:val="0"/>
          <w:i w:val="0"/>
        </w:rPr>
        <w:t>5°/ Enfin que ces livres seront eux-mêmes tenus à la disposition de la Société pendant trois années à compter du jour ci-dessus fixé pour l'entrée en jouissance de la Société.</w:t>
      </w:r>
    </w:p>
    <w:p>
      <w:pPr>
        <w:pStyle w:val="Heading2"/>
      </w:pPr>
      <w:r>
        <w:t>ARTICLE 10 – CAPITAL SOCIAL</w:t>
      </w:r>
    </w:p>
    <w:p>
      <w:pPr>
        <w:ind w:firstLine="454"/>
        <w:jc w:val="both"/>
      </w:pPr>
      <w:r>
        <w:rPr>
          <w:b w:val="0"/>
          <w:i w:val="0"/>
        </w:rPr>
        <w:t>Le capital social est fixé à la somme de CINQUANTE MILLE FRANCS, dont :</w:t>
      </w:r>
    </w:p>
    <w:p>
      <w:pPr>
        <w:ind w:firstLine="454"/>
        <w:jc w:val="both"/>
      </w:pPr>
      <w:r>
        <w:rPr>
          <w:b w:val="0"/>
          <w:i w:val="0"/>
        </w:rPr>
        <w:t>– NEUF MILLE FRANCS, correspondant à l'apport en numéraire effectué par les associés. Ci …</w:t>
        <w:tab/>
        <w:t>9.000,00 F</w:t>
      </w:r>
    </w:p>
    <w:p>
      <w:pPr>
        <w:ind w:firstLine="454"/>
        <w:jc w:val="both"/>
      </w:pPr>
      <w:r>
        <w:rPr>
          <w:b w:val="0"/>
          <w:i w:val="0"/>
        </w:rPr>
        <w:t>– QUARANTE ET UN MILLE FRANCS correspondant à l'apport de fonds de commerce effectué par les associés. Ci …</w:t>
        <w:tab/>
        <w:t>41.000,00 F</w:t>
      </w:r>
    </w:p>
    <w:p>
      <w:pPr>
        <w:ind w:firstLine="454"/>
        <w:jc w:val="both"/>
      </w:pPr>
      <w:r>
        <w:rPr>
          <w:b w:val="0"/>
          <w:i w:val="0"/>
        </w:rPr>
        <w:t>Soit ensemble : CINQUANTE MILLE FRANCS. Ci …</w:t>
        <w:tab/>
        <w:t>50.000,00 F</w:t>
      </w:r>
    </w:p>
    <w:p>
      <w:pPr>
        <w:ind w:firstLine="454"/>
        <w:jc w:val="both"/>
      </w:pPr>
      <w:r>
        <w:rPr>
          <w:b w:val="0"/>
          <w:i w:val="0"/>
        </w:rPr>
        <w:t>Dont la moitié : 1/2</w:t>
      </w:r>
    </w:p>
    <w:p>
      <w:pPr>
        <w:ind w:firstLine="454"/>
        <w:jc w:val="both"/>
      </w:pPr>
      <w:r>
        <w:rPr>
          <w:b w:val="0"/>
          <w:i w:val="0"/>
        </w:rPr>
        <w:t>Est de : VINGT CINQ MILLE FRANCS. Ci …</w:t>
        <w:tab/>
        <w:t>25.000,00 F</w:t>
      </w:r>
    </w:p>
    <w:p>
      <w:pPr>
        <w:ind w:firstLine="454"/>
        <w:jc w:val="both"/>
      </w:pPr>
      <w:r>
        <w:rPr>
          <w:b w:val="0"/>
          <w:i w:val="0"/>
        </w:rPr>
        <w:t>Il est divisé en CINQ CENTS parts de CENT FRANCS chacune, numérotées de Un à Cinq Cent et attribuées, savoir :</w:t>
      </w:r>
    </w:p>
    <w:p>
      <w:pPr>
        <w:ind w:firstLine="454"/>
        <w:jc w:val="both"/>
      </w:pPr>
      <w:r>
        <w:rPr>
          <w:b w:val="0"/>
          <w:i w:val="0"/>
        </w:rPr>
        <w:t>1°/ Monsieur Jean TUE époux RACOIS.</w:t>
      </w:r>
    </w:p>
    <w:p>
      <w:pPr>
        <w:ind w:firstLine="454"/>
        <w:jc w:val="both"/>
      </w:pPr>
      <w:r>
        <w:rPr>
          <w:b w:val="0"/>
          <w:i w:val="0"/>
        </w:rPr>
        <w:t xml:space="preserve">a) Celles portant les Numéros 1 à </w:t>
      </w:r>
      <w:r>
        <w:rPr>
          <w:b w:val="0"/>
          <w:i/>
          <w:color w:val="1F3F7A"/>
        </w:rPr>
        <w:t>205</w:t>
      </w:r>
      <w:r>
        <w:rPr>
          <w:b w:val="0"/>
          <w:i w:val="0"/>
        </w:rPr>
        <w:t xml:space="preserve"> inclus en représentation de son apport en nature ci-dessus décrit. Ci …</w:t>
        <w:tab/>
        <w:t>205</w:t>
      </w:r>
    </w:p>
    <w:p>
      <w:pPr>
        <w:ind w:firstLine="454"/>
        <w:jc w:val="both"/>
      </w:pPr>
      <w:r>
        <w:rPr>
          <w:b w:val="0"/>
          <w:i w:val="0"/>
        </w:rPr>
        <w:t xml:space="preserve">b) Celles portant les Numéros </w:t>
      </w:r>
      <w:r>
        <w:rPr>
          <w:b w:val="0"/>
          <w:i/>
          <w:color w:val="1F3F7A"/>
        </w:rPr>
        <w:t>206</w:t>
      </w:r>
      <w:r>
        <w:rPr>
          <w:b w:val="0"/>
          <w:i w:val="0"/>
        </w:rPr>
        <w:t xml:space="preserve"> à 250 inclus en représentation de son apport en numéraire. Ci …</w:t>
        <w:tab/>
        <w:t>45</w:t>
      </w:r>
    </w:p>
    <w:p>
      <w:pPr>
        <w:jc w:val="right"/>
      </w:pPr>
      <w:r>
        <w:rPr>
          <w:b/>
          <w:i w:val="0"/>
        </w:rPr>
        <w:t>À REPORTER : 250</w:t>
      </w:r>
    </w:p>
    <w:p>
      <w:pPr>
        <w:jc w:val="right"/>
      </w:pPr>
      <w:r>
        <w:rPr>
          <w:b/>
          <w:i w:val="0"/>
        </w:rPr>
        <w:t>REPORT : 250</w:t>
      </w:r>
    </w:p>
    <w:p>
      <w:pPr>
        <w:ind w:firstLine="454"/>
        <w:jc w:val="both"/>
      </w:pPr>
      <w:r>
        <w:rPr>
          <w:b w:val="0"/>
          <w:i w:val="0"/>
        </w:rPr>
        <w:t>2°/ À Monsieur Gaston TUE époux CHARRIER,</w:t>
      </w:r>
    </w:p>
    <w:p>
      <w:pPr>
        <w:ind w:firstLine="454"/>
        <w:jc w:val="both"/>
      </w:pPr>
      <w:r>
        <w:rPr>
          <w:b w:val="0"/>
          <w:i w:val="0"/>
        </w:rPr>
        <w:t xml:space="preserve">a) Celles portant les Numéros 251 à </w:t>
      </w:r>
      <w:r>
        <w:rPr>
          <w:b w:val="0"/>
          <w:i/>
          <w:color w:val="1F3F7A"/>
        </w:rPr>
        <w:t>455</w:t>
      </w:r>
      <w:r>
        <w:rPr>
          <w:b w:val="0"/>
          <w:i w:val="0"/>
        </w:rPr>
        <w:t xml:space="preserve"> inclus en représentation de son apport en nature ci-dessus décrit. Ci …</w:t>
        <w:tab/>
        <w:t>205</w:t>
      </w:r>
    </w:p>
    <w:p>
      <w:pPr>
        <w:ind w:firstLine="454"/>
        <w:jc w:val="both"/>
      </w:pPr>
      <w:r>
        <w:rPr>
          <w:b w:val="0"/>
          <w:i w:val="0"/>
        </w:rPr>
        <w:t xml:space="preserve">b) Celles portant les Numéros </w:t>
      </w:r>
      <w:r>
        <w:rPr>
          <w:b w:val="0"/>
          <w:i/>
          <w:color w:val="1F3F7A"/>
        </w:rPr>
        <w:t>456</w:t>
      </w:r>
      <w:r>
        <w:rPr>
          <w:b w:val="0"/>
          <w:i w:val="0"/>
        </w:rPr>
        <w:t xml:space="preserve"> à 500 inclus, en représentation de son apport en numéraire. Ci …</w:t>
        <w:tab/>
        <w:t>45</w:t>
      </w:r>
    </w:p>
    <w:p>
      <w:pPr>
        <w:ind w:firstLine="454"/>
        <w:jc w:val="both"/>
      </w:pPr>
      <w:r>
        <w:rPr>
          <w:b w:val="0"/>
          <w:i w:val="0"/>
        </w:rPr>
        <w:t>Total égal au nombre de parts composant le capital social : Cinq Cents parts. Ci …</w:t>
        <w:tab/>
        <w:t>500</w:t>
      </w:r>
    </w:p>
    <w:p>
      <w:pPr>
        <w:ind w:firstLine="454"/>
        <w:jc w:val="both"/>
      </w:pPr>
      <w:r>
        <w:rPr>
          <w:b w:val="0"/>
          <w:i w:val="0"/>
        </w:rPr>
        <w:t>Conformément à la loi, les parts sociales ne peuvent être représentées par des titres négociables.</w:t>
      </w:r>
    </w:p>
    <w:p>
      <w:pPr>
        <w:ind w:firstLine="454"/>
        <w:jc w:val="both"/>
      </w:pPr>
      <w:r>
        <w:rPr>
          <w:b w:val="0"/>
          <w:i w:val="0"/>
        </w:rPr>
        <w:t>Il ne sera pas non plus créé de titres non négociables représentatifs des parts sociales, les droits des associés résulteront seulement des présentes, des actes qui pourraient augmenter ou réduire le capital social et des cessions ou mutations qui seraient ultérieurement consenties.</w:t>
      </w:r>
    </w:p>
    <w:p>
      <w:pPr>
        <w:ind w:firstLine="454"/>
        <w:jc w:val="both"/>
      </w:pPr>
      <w:r>
        <w:rPr>
          <w:b w:val="0"/>
          <w:i w:val="0"/>
        </w:rPr>
        <w:t>Un exemplaire ou une expédition ou extrait de ces actes sera délivré à chaque associé qui en fera la demande, aux frais de la Société.</w:t>
      </w:r>
    </w:p>
    <w:p>
      <w:pPr>
        <w:pStyle w:val="Heading2"/>
      </w:pPr>
      <w:r>
        <w:t>INTERVENTION DE Madame TUE née RACOIS</w:t>
      </w:r>
    </w:p>
    <w:p>
      <w:pPr>
        <w:ind w:firstLine="454"/>
        <w:jc w:val="both"/>
      </w:pPr>
      <w:r>
        <w:rPr>
          <w:b w:val="0"/>
          <w:i w:val="0"/>
        </w:rPr>
        <w:t>Aux présentes est à l'instant intervenue :</w:t>
      </w:r>
    </w:p>
    <w:p>
      <w:pPr>
        <w:ind w:firstLine="454"/>
        <w:jc w:val="both"/>
      </w:pPr>
      <w:r>
        <w:rPr>
          <w:b w:val="0"/>
          <w:i w:val="0"/>
        </w:rPr>
        <w:t>Madame Esther Louise Marguerite Marie RACOIS, sans profession, épouse de Monsieur Jean Marie Henri Auguste Charles TUE, menuisier, avec lequel elle demeure à Beauvoir-sur-Mer, Grande Rue, Numéro 16, et avec lequel elle est mariée ainsi qu'il est dit ci-dessus.</w:t>
      </w:r>
    </w:p>
    <w:p>
      <w:pPr>
        <w:ind w:firstLine="454"/>
        <w:jc w:val="both"/>
      </w:pPr>
      <w:r>
        <w:rPr>
          <w:b w:val="0"/>
          <w:i w:val="0"/>
        </w:rPr>
        <w:t>Née à Beauvoir-sur-Mer le dix neuf juillet mil neuf cent douze.</w:t>
      </w:r>
    </w:p>
    <w:p>
      <w:pPr>
        <w:ind w:firstLine="454"/>
        <w:jc w:val="both"/>
      </w:pPr>
      <w:r>
        <w:rPr>
          <w:b w:val="0"/>
          <w:i w:val="0"/>
        </w:rPr>
        <w:t>LAQUELLE, après avoir pris connaissance de tout ce qui précède, tant par elle même que par la lecture que lui en a faite Me André BILLON, notaire soussigné, a déclaré conformément aux dispositions de l'alinéa premier de l'article 1.424 du Code Civil donner expressément son consentement à l'apport en nature ci-dessus fait par Monsieur Jean TUE, son époux, et s'interdire tout recours à ce sujet.</w:t>
      </w:r>
    </w:p>
    <w:p>
      <w:pPr>
        <w:pStyle w:val="Heading2"/>
      </w:pPr>
      <w:r>
        <w:t>ARTICLE 11 – COMPTES COURANTS</w:t>
      </w:r>
    </w:p>
    <w:p>
      <w:pPr>
        <w:ind w:firstLine="454"/>
        <w:jc w:val="both"/>
      </w:pPr>
      <w:r>
        <w:rPr>
          <w:b w:val="0"/>
          <w:i w:val="0"/>
        </w:rPr>
        <w:t xml:space="preserve">Chacun des associés pourra verser à la caisse sociale, du consentement de ses co-associés, les sommes dont la société pourrait avoir besoin. Ces sommes </w:t>
      </w:r>
      <w:r>
        <w:rPr>
          <w:b w:val="0"/>
          <w:i w:val="0"/>
          <w:strike/>
          <w:color w:val="999999"/>
        </w:rPr>
        <w:t>produiront, à défaut d'autres conventions, des intérêts au taux de ...... l'an, à compter du jour de leur versement, lesquels</w:t>
      </w:r>
      <w:r>
        <w:rPr>
          <w:b w:val="0"/>
          <w:i w:val="0"/>
        </w:rPr>
        <w:t xml:space="preserve"> pourront produire des intérêts à un taux qui sera fixé par décision collective des associés, mais ne pourra en aucun cas excéder celui pratiqué en matière commerciale. Dans le cas où les sommes ainsi avancées seront productives d'intérêts ceux-ci commenceront à courir à compter du jour du versement et [renvoi en marge] seront payables, annuellement le </w:t>
      </w:r>
      <w:r>
        <w:rPr>
          <w:b w:val="0"/>
          <w:i/>
          <w:color w:val="1F3F7A"/>
        </w:rPr>
        <w:t>trente et un décembre</w:t>
      </w:r>
      <w:r>
        <w:rPr>
          <w:b w:val="0"/>
          <w:i w:val="0"/>
        </w:rPr>
        <w:t xml:space="preserve"> de chaque année et figureront aux frais généraux.</w:t>
      </w:r>
    </w:p>
    <w:p>
      <w:pPr>
        <w:ind w:firstLine="454"/>
        <w:jc w:val="both"/>
      </w:pPr>
      <w:r>
        <w:rPr>
          <w:b w:val="0"/>
          <w:i w:val="0"/>
        </w:rPr>
        <w:t xml:space="preserve">Ces sommes ne pourront être retirées, au cours de la société, qu'après un préavis de </w:t>
      </w:r>
      <w:r>
        <w:rPr>
          <w:b w:val="0"/>
          <w:i/>
          <w:color w:val="1F3F7A"/>
        </w:rPr>
        <w:t>deux</w:t>
      </w:r>
      <w:r>
        <w:rPr>
          <w:b w:val="0"/>
          <w:i w:val="0"/>
        </w:rPr>
        <w:t xml:space="preserve"> mois, à moins que d'autres conventions de remboursement n'aient été arrêtées entre les associés lors du versement de ces sommes.</w:t>
      </w:r>
    </w:p>
    <w:p>
      <w:pPr>
        <w:ind w:firstLine="454"/>
        <w:jc w:val="both"/>
      </w:pPr>
      <w:r>
        <w:rPr>
          <w:b w:val="0"/>
          <w:i w:val="0"/>
        </w:rPr>
        <w:t xml:space="preserve">Moyennant un préavis de </w:t>
      </w:r>
      <w:r>
        <w:rPr>
          <w:b w:val="0"/>
          <w:i/>
          <w:color w:val="1F3F7A"/>
        </w:rPr>
        <w:t>deux</w:t>
      </w:r>
      <w:r>
        <w:rPr>
          <w:b w:val="0"/>
          <w:i w:val="0"/>
        </w:rPr>
        <w:t xml:space="preserve"> mois, donné par écrit, la gérance aura toujours le droit de rembourser en totalité ou par fractions, ne pouvant toutefois pas être inférieures à </w:t>
      </w:r>
      <w:r>
        <w:rPr>
          <w:b w:val="0"/>
          <w:i/>
          <w:color w:val="1F3F7A"/>
        </w:rPr>
        <w:t>Deux mille francs</w:t>
      </w:r>
      <w:r>
        <w:rPr>
          <w:b w:val="0"/>
          <w:i w:val="0"/>
        </w:rPr>
        <w:t>, les comptes courants des associés. Le même droit appartiendra aux associés par décision collective ordinaire.</w:t>
      </w:r>
    </w:p>
    <w:p>
      <w:pPr>
        <w:pStyle w:val="Heading2"/>
      </w:pPr>
      <w:r>
        <w:t>ARTICLE 12 – GÉRANCE</w:t>
      </w:r>
    </w:p>
    <w:p>
      <w:pPr>
        <w:ind w:firstLine="454"/>
        <w:jc w:val="both"/>
      </w:pPr>
      <w:r>
        <w:rPr>
          <w:b w:val="0"/>
          <w:i w:val="0"/>
        </w:rPr>
        <w:t>I. – La société sera gérée et administrée par les deux associés.</w:t>
      </w:r>
    </w:p>
    <w:p>
      <w:pPr>
        <w:ind w:firstLine="454"/>
        <w:jc w:val="both"/>
      </w:pPr>
      <w:r>
        <w:rPr>
          <w:b w:val="0"/>
          <w:i w:val="0"/>
        </w:rPr>
        <w:t>II. – Conformément à la loi, chacun des gérants aura vis-à-vis des tiers les pouvoirs les plus étendus pour contracter au nom de la société et l'engager pour tous les actes et opérations entrant dans l'objet social, sans limitation. L'opposition formée par un gérant aux actes d'un autre gérant est sans effet à l'égard des tiers, à moins qu'il ne soit établi qu'ils en ont eu connaissance.</w:t>
      </w:r>
    </w:p>
    <w:p>
      <w:pPr>
        <w:ind w:firstLine="454"/>
        <w:jc w:val="both"/>
      </w:pPr>
      <w:r>
        <w:rPr>
          <w:b w:val="0"/>
          <w:i w:val="0"/>
        </w:rPr>
        <w:t>Toutefois, de convention expresse et à titre de mesure d'ordre intérieur non opposable aux tiers, le concours ou l'autorisation des deux gérants sera nécessaire pour contracter tous emprunts hypothécaires ou non, même par dépôt de sommes en compte courant, pour consentir tous gages et nantissements, pour réaliser toutes acquisitions, échanges, ventes ou apports d'immeubles et de fonds de commerce et pour contracter tous baux commerciaux, soit comme preneur, soit comme bailleur.</w:t>
      </w:r>
    </w:p>
    <w:p>
      <w:pPr>
        <w:ind w:firstLine="454"/>
        <w:jc w:val="both"/>
      </w:pPr>
      <w:r>
        <w:rPr>
          <w:b w:val="0"/>
          <w:i w:val="0"/>
        </w:rPr>
        <w:t>En conséquence, chacun des gérants s'interdit de réaliser l'un de ces actes sans en avoir informé son co-gérant et obtenu son accord sous peine de révocation et de tous dommages et intérêts.</w:t>
      </w:r>
    </w:p>
    <w:p>
      <w:pPr>
        <w:ind w:firstLine="454"/>
        <w:jc w:val="both"/>
      </w:pPr>
      <w:r>
        <w:rPr>
          <w:b w:val="0"/>
          <w:i w:val="0"/>
        </w:rPr>
        <w:t xml:space="preserve">III. – La signature sociale sera donnée par l'apposition de la signature personnelle des gérants ou de l'un d'eux, précédée de la mention « Pour la Société TUE Père et Fils, </w:t>
      </w:r>
      <w:r>
        <w:rPr>
          <w:b w:val="0"/>
          <w:i/>
          <w:color w:val="1F3F7A"/>
        </w:rPr>
        <w:t>le ou</w:t>
      </w:r>
      <w:r>
        <w:rPr>
          <w:b w:val="0"/>
          <w:i w:val="0"/>
        </w:rPr>
        <w:t xml:space="preserve"> [renvoi en marge] les gérants ou l'un des gérants ».</w:t>
      </w:r>
    </w:p>
    <w:p>
      <w:pPr>
        <w:ind w:firstLine="454"/>
        <w:jc w:val="both"/>
      </w:pPr>
      <w:r>
        <w:rPr>
          <w:b w:val="0"/>
          <w:i w:val="0"/>
        </w:rPr>
        <w:t>IV. – Les gérants devront consacrer tout leur temps et tous leurs soins aux affaires sociales.</w:t>
      </w:r>
    </w:p>
    <w:p>
      <w:pPr>
        <w:ind w:firstLine="454"/>
        <w:jc w:val="both"/>
      </w:pPr>
      <w:r>
        <w:rPr>
          <w:b w:val="0"/>
          <w:i w:val="0"/>
        </w:rPr>
        <w:t>Ils s'interdisent expressément de s'intéresser, directement ou indirectement, dans aucune entreprise industrielle ou commerciale analogue à celle faisant l'objet de la société, mais ils se réservent le droit de prendre des intérêts, mêmes directs, dans des affaires non similaires.</w:t>
      </w:r>
    </w:p>
    <w:p>
      <w:pPr>
        <w:pStyle w:val="Heading2"/>
      </w:pPr>
      <w:r>
        <w:t>ARTICLE 13 – RÉVOCATION ET DÉMISSION D'UN GÉRANT</w:t>
      </w:r>
    </w:p>
    <w:p>
      <w:pPr>
        <w:ind w:firstLine="454"/>
        <w:jc w:val="both"/>
      </w:pPr>
      <w:r>
        <w:rPr>
          <w:b w:val="0"/>
          <w:i w:val="0"/>
        </w:rPr>
        <w:t xml:space="preserve">I. – Si tous les associés sont gérants, ou si un ou plusieurs gérants choisis parmi les associés sont désignés dans les statuts, la révocation de l'un d'eux de ses fonctions ne peut être décidée qu'à l'unanimité des autres associés. Elle entraîne la dissolution de la société, à moins que les autres associés ne décident de continuer la société </w:t>
      </w:r>
      <w:r>
        <w:rPr>
          <w:b w:val="0"/>
          <w:i w:val="0"/>
          <w:strike/>
          <w:color w:val="999999"/>
        </w:rPr>
        <w:t>entre eux</w:t>
      </w:r>
      <w:r>
        <w:rPr>
          <w:b w:val="0"/>
          <w:i w:val="0"/>
        </w:rPr>
        <w:t>. Dans ce cas, la valeur des droits sociaux à rembourser à l'ancien associé est déterminée conformément à l'article 1868, alinéa 5 du Code Civil.</w:t>
      </w:r>
    </w:p>
    <w:p>
      <w:pPr>
        <w:ind w:firstLine="454"/>
        <w:jc w:val="both"/>
      </w:pPr>
      <w:r>
        <w:rPr>
          <w:b w:val="0"/>
          <w:i w:val="0"/>
        </w:rPr>
        <w:t>La révocation d'un gérant associé non statutaire peut être décidée par une décision des autres associés prise à l'unanimité.</w:t>
      </w:r>
    </w:p>
    <w:p>
      <w:pPr>
        <w:ind w:firstLine="454"/>
        <w:jc w:val="both"/>
      </w:pPr>
      <w:r>
        <w:rPr>
          <w:b w:val="0"/>
          <w:i w:val="0"/>
        </w:rPr>
        <w:t>Dans tous les cas, si la révocation est décidée sans juste motif, elle peut donner lieu à dommages-intérêts.</w:t>
      </w:r>
    </w:p>
    <w:p>
      <w:pPr>
        <w:ind w:firstLine="454"/>
        <w:jc w:val="both"/>
      </w:pPr>
      <w:r>
        <w:rPr>
          <w:b w:val="0"/>
          <w:i w:val="0"/>
        </w:rPr>
        <w:t>II. – La démission d'un gérant ne peut avoir lieu que si elle est acceptée par décision des associés prise dans les conditions ci-dessus prévues pour sa révocation à l'unanimité ou à la majorité, selon qu'il aura ou non la qualité de gérant statutaire.</w:t>
      </w:r>
    </w:p>
    <w:p>
      <w:pPr>
        <w:ind w:firstLine="454"/>
        <w:jc w:val="both"/>
      </w:pPr>
      <w:r>
        <w:rPr>
          <w:b w:val="0"/>
          <w:i w:val="0"/>
        </w:rPr>
        <w:t xml:space="preserve">III. – En cas de décès d'un gérant, la gérance sera exercée par le ou les gérants survivants, sauf application, le cas échéant, des dispositions prévues ci-après à l'article </w:t>
      </w:r>
      <w:r>
        <w:rPr>
          <w:b w:val="0"/>
          <w:i/>
          <w:color w:val="1F3F7A"/>
        </w:rPr>
        <w:t>21</w:t>
      </w:r>
      <w:r>
        <w:rPr>
          <w:b w:val="0"/>
          <w:i w:val="0"/>
        </w:rPr>
        <w:t xml:space="preserve"> visant les cas de décès.</w:t>
      </w:r>
    </w:p>
    <w:p>
      <w:pPr>
        <w:ind w:firstLine="454"/>
        <w:jc w:val="both"/>
      </w:pPr>
      <w:r>
        <w:rPr>
          <w:b w:val="0"/>
          <w:i w:val="0"/>
        </w:rPr>
        <w:t xml:space="preserve">En cas de décès d'un gérant resté seul en fonction et si aucune disposition n'a été prise ou prévue pour que la société soit, dans ce cas, pourvue d'un nouveau gérant associé, les associés survivants et les héritiers du défunt auront un délai de </w:t>
      </w:r>
      <w:r>
        <w:rPr>
          <w:b w:val="0"/>
          <w:i/>
          <w:color w:val="1F3F7A"/>
        </w:rPr>
        <w:t>six</w:t>
      </w:r>
      <w:r>
        <w:rPr>
          <w:b w:val="0"/>
          <w:i w:val="0"/>
        </w:rPr>
        <w:t xml:space="preserve"> [renvoi en marge] mois pour réorganiser la gérance ou transformer la société en société d'une autre forme. Passé ce délai, tout associé ou ayant-droit pourra faire prononcer judiciairement la dissolution de la société.</w:t>
      </w:r>
    </w:p>
    <w:p>
      <w:pPr>
        <w:ind w:firstLine="454"/>
        <w:jc w:val="both"/>
      </w:pPr>
      <w:r>
        <w:rPr>
          <w:b w:val="0"/>
          <w:i w:val="0"/>
        </w:rPr>
        <w:t>Durant la période intérimaire, les mandataires du gérant décédé, en fonction au jour du décès, continueront à exercer leurs pouvoirs pour assurer la gestion de la société. À défaut, les associés désigneront un gérant provisoire, associé ou non.</w:t>
      </w:r>
    </w:p>
    <w:p>
      <w:pPr>
        <w:ind w:firstLine="454"/>
        <w:jc w:val="both"/>
      </w:pPr>
      <w:r>
        <w:rPr>
          <w:b w:val="0"/>
          <w:i w:val="0"/>
        </w:rPr>
        <w:t xml:space="preserve">IV. – En cas de cessation de fonction d'un gérant pour quelque cause que ce soit, ce dernier s'interdit pendant un délai de </w:t>
      </w:r>
      <w:r>
        <w:rPr>
          <w:b w:val="0"/>
          <w:i/>
          <w:color w:val="1F3F7A"/>
        </w:rPr>
        <w:t>cinq</w:t>
      </w:r>
      <w:r>
        <w:rPr>
          <w:b w:val="0"/>
          <w:i w:val="0"/>
        </w:rPr>
        <w:t xml:space="preserve"> années et dans un rayon de </w:t>
      </w:r>
      <w:r>
        <w:rPr>
          <w:b w:val="0"/>
          <w:i/>
          <w:color w:val="1F3F7A"/>
        </w:rPr>
        <w:t>Dix kilomètres</w:t>
      </w:r>
      <w:r>
        <w:rPr>
          <w:b w:val="0"/>
          <w:i w:val="0"/>
        </w:rPr>
        <w:t>, d'acquérir, posséder, exploiter ou diriger aucun établissement similaire à celui qu'exploitera la société ou susceptible de lui faire concurrence, comme aussi de s'y intéresser, directement ou indirectement, de quelque manière que ce soit, le tout à peine de tous dommages et intérêts au profit de la société sans préjudice du droit pour cette dernière de faire cesser la contravention.</w:t>
      </w:r>
    </w:p>
    <w:p>
      <w:pPr>
        <w:pStyle w:val="Heading2"/>
      </w:pPr>
      <w:r>
        <w:t>ARTICLE 14 – RÉMUNÉRATION DE LA GÉRANCE – REMBOURSEMENT DE FRAIS</w:t>
      </w:r>
    </w:p>
    <w:p>
      <w:pPr>
        <w:ind w:firstLine="454"/>
        <w:jc w:val="both"/>
      </w:pPr>
      <w:r>
        <w:rPr>
          <w:b w:val="0"/>
          <w:i w:val="0"/>
        </w:rPr>
        <w:t>Chacun des gérants aura droit en rémunération du travail effectif qu'il fournira à la société à un traitement fixe mensuel qui sera déterminé d'un commun accord entre les associés et qui figurera aux frais généraux de la société.</w:t>
      </w:r>
    </w:p>
    <w:p>
      <w:pPr>
        <w:ind w:firstLine="454"/>
        <w:jc w:val="both"/>
      </w:pPr>
      <w:r>
        <w:rPr>
          <w:b w:val="0"/>
          <w:i w:val="0"/>
        </w:rPr>
        <w:t>Chacun des gérants aura le droit de se faire rembourser, par frais généraux, les frais de voyage et de déplacements, comme les frais de représentation faits dans l'intérêt des affaires sociales, sur production d'un état signé par lui.</w:t>
      </w:r>
    </w:p>
    <w:p>
      <w:pPr>
        <w:pStyle w:val="Heading2"/>
      </w:pPr>
      <w:r>
        <w:t>ARTICLE 15 – DÉCISION DES ASSOCIÉS</w:t>
      </w:r>
    </w:p>
    <w:p>
      <w:pPr>
        <w:ind w:firstLine="454"/>
        <w:jc w:val="both"/>
      </w:pPr>
      <w:r>
        <w:rPr>
          <w:b w:val="0"/>
          <w:i w:val="0"/>
        </w:rPr>
        <w:t>I. – Tant que tous les associés seront gérants, les décisions, quelles qu'elles soient, qui excéderont leurs pouvoirs en cette qualité, seront prises, en leur qualité d'associés, d'un commun accord entre eux.</w:t>
      </w:r>
    </w:p>
    <w:p>
      <w:pPr>
        <w:ind w:firstLine="454"/>
        <w:jc w:val="both"/>
      </w:pPr>
      <w:r>
        <w:rPr>
          <w:b w:val="0"/>
          <w:i w:val="0"/>
        </w:rPr>
        <w:t>II. – Si, par la suite, la société comprend des associés gérants et des associés non gérants, ayant la qualité d'associés en nom ou d'associés commanditaires, les décisions modificatives des statuts, dites décisions extraordinaires, seront valablement prises à l'unanimité des associés en nom et à la majorité en capital des associés commanditaires, cette majorité étant calculée sur la fraction du capital leur appartenant.</w:t>
      </w:r>
    </w:p>
    <w:p>
      <w:pPr>
        <w:ind w:firstLine="454"/>
        <w:jc w:val="both"/>
      </w:pPr>
      <w:r>
        <w:rPr>
          <w:b w:val="0"/>
          <w:i w:val="0"/>
        </w:rPr>
        <w:t>Par décision extraordinaire, les associés pourront notamment, sans que cette énumération soit limitative :</w:t>
      </w:r>
    </w:p>
    <w:p>
      <w:r>
        <w:rPr>
          <w:b w:val="0"/>
          <w:i w:val="0"/>
        </w:rPr>
        <w:t>– augmenter ou réduire le capital social ;</w:t>
      </w:r>
    </w:p>
    <w:p>
      <w:r>
        <w:rPr>
          <w:b w:val="0"/>
          <w:i w:val="0"/>
        </w:rPr>
        <w:t>– accepter des associés nouveaux ;</w:t>
      </w:r>
    </w:p>
    <w:p>
      <w:r>
        <w:rPr>
          <w:b w:val="0"/>
          <w:i w:val="0"/>
        </w:rPr>
        <w:t>– modifier l'objet social, ainsi que la répartition des bénéfices et des pertes ;</w:t>
      </w:r>
    </w:p>
    <w:p>
      <w:r>
        <w:rPr>
          <w:b w:val="0"/>
          <w:i w:val="0"/>
        </w:rPr>
        <w:t>– proroger la durée de la société ou décider sa dissolution anticipée ;</w:t>
      </w:r>
    </w:p>
    <w:p>
      <w:r>
        <w:rPr>
          <w:b w:val="0"/>
          <w:i w:val="0"/>
        </w:rPr>
        <w:t>– transformer la société en société de toute autre forme ;</w:t>
      </w:r>
    </w:p>
    <w:p>
      <w:pPr>
        <w:ind w:firstLine="454"/>
        <w:jc w:val="both"/>
      </w:pPr>
      <w:r>
        <w:rPr>
          <w:b w:val="0"/>
          <w:i w:val="0"/>
        </w:rPr>
        <w:t>Quant aux autres décisions, dites décisions ordinaires, et notamment celles concernant l'approbation des comptes annuels et les opérations mentionnées à l'article 13, § II, pour lesquelles la gérance doit solliciter l'approbation des associés, elles ne seront valablement prises que si elles sont adoptées par la majorité en nombre des associés en nom, représentant les trois/quarts au moins de la fraction du capital social possédée par lesdits associés et par la majorité en capital des associés commanditaires s'il en existe, cette majorité étant calculée comme il est dit à l'alinéa précédent.</w:t>
      </w:r>
    </w:p>
    <w:p>
      <w:pPr>
        <w:pStyle w:val="Heading2"/>
      </w:pPr>
      <w:r>
        <w:t>ARTICLE 16 – MODE DE CONSULTATION</w:t>
      </w:r>
    </w:p>
    <w:p>
      <w:pPr>
        <w:ind w:firstLine="454"/>
        <w:jc w:val="both"/>
      </w:pPr>
      <w:r>
        <w:rPr>
          <w:b w:val="0"/>
          <w:i w:val="0"/>
        </w:rPr>
        <w:t>Les décisions collectives des associés résultent :</w:t>
      </w:r>
    </w:p>
    <w:p>
      <w:r>
        <w:rPr>
          <w:b w:val="0"/>
          <w:i w:val="0"/>
        </w:rPr>
        <w:t>– soit d'un accord unanime des associés ;</w:t>
      </w:r>
    </w:p>
    <w:p>
      <w:r>
        <w:rPr>
          <w:b w:val="0"/>
          <w:i w:val="0"/>
        </w:rPr>
        <w:t>– soit d'un vote par correspondance ;</w:t>
      </w:r>
    </w:p>
    <w:p>
      <w:r>
        <w:rPr>
          <w:b w:val="0"/>
          <w:i w:val="0"/>
        </w:rPr>
        <w:t>– soit d'une délibération prise en Assemblée générale.</w:t>
      </w:r>
    </w:p>
    <w:p>
      <w:pPr>
        <w:ind w:firstLine="454"/>
        <w:jc w:val="both"/>
      </w:pPr>
      <w:r>
        <w:rPr>
          <w:b w:val="0"/>
          <w:i w:val="0"/>
        </w:rPr>
        <w:t>La réunion d'une assemblée est obligatoire pour les décisions relatives à l'approbation des comptes annuels et, pour toutes autres décisions, si elle est demandée par un associé en nom ou par le quart en nombre et en capital des commanditaires s'il en existe.</w:t>
      </w:r>
    </w:p>
    <w:p>
      <w:pPr>
        <w:ind w:firstLine="454"/>
        <w:jc w:val="both"/>
      </w:pPr>
      <w:r>
        <w:rPr>
          <w:b w:val="0"/>
          <w:i w:val="0"/>
        </w:rPr>
        <w:t>1° – Lorsque les décisions des associés sont ou doivent être prises à l'unanimité, elles peuvent être constatées notamment dans un acte notarié ou sous seing privé ou dans un procès-verbal signé des associés ou de leurs mandataires.</w:t>
      </w:r>
    </w:p>
    <w:p>
      <w:pPr>
        <w:ind w:firstLine="454"/>
        <w:jc w:val="both"/>
      </w:pPr>
      <w:r>
        <w:rPr>
          <w:b w:val="0"/>
          <w:i w:val="0"/>
        </w:rPr>
        <w:t>2° – Au cas de consultation par écrit, la gérance adresse au dernier domicile connu de chacun des associés par lettre recommandée, le texte des résolutions par elle proposées, accompagné de tous renseignements et explications utiles et, notamment, s'il s'agit d'approuver les comptes d'un exercice, des documents visés ci-après à l'article ...... [non complété].</w:t>
      </w:r>
    </w:p>
    <w:p>
      <w:pPr>
        <w:ind w:firstLine="454"/>
        <w:jc w:val="both"/>
      </w:pPr>
      <w:r>
        <w:rPr>
          <w:b w:val="0"/>
          <w:i w:val="0"/>
        </w:rPr>
        <w:t>Dans un délai de quinze jours entiers à compter de l'envoi de la lettre recommandée, les associés doivent adresser à la gérance, leur acceptation ou leur refus par pli recommandé. Le vote est formulé par l'inscription au bas de chaque résolution de la mention « adopté » ou « repoussé ».</w:t>
      </w:r>
    </w:p>
    <w:p>
      <w:pPr>
        <w:ind w:firstLine="454"/>
        <w:jc w:val="both"/>
      </w:pPr>
      <w:r>
        <w:rPr>
          <w:b w:val="0"/>
          <w:i w:val="0"/>
        </w:rPr>
        <w:t>Tout associé qui n'aura pas adressé sa réponse dans le délai ci-dessus, sera considéré comme s'étant abstenu.</w:t>
      </w:r>
    </w:p>
    <w:p>
      <w:pPr>
        <w:ind w:firstLine="454"/>
        <w:jc w:val="both"/>
      </w:pPr>
      <w:r>
        <w:rPr>
          <w:b w:val="0"/>
          <w:i w:val="0"/>
        </w:rPr>
        <w:t>3° – Au cas où la gérance estime préférable de délibérer en Assemblée générale, comme dans le cas où, en vertu des dispositions qui précèdent, la réunion d'une telle assemblée est obligatoire, les associés sont convoqués quinze jours au moins à l'avance, par lettre recommandée adressée à leur dernier domicile connu, leur faisant connaître l'ordre du jour, les lieu, jour et heure de la réunion. Ce délai peut être réduit à huit jours pour les Assemblées générales extraordinaires ou pour les Assemblées générales ordinaires autres que celles appelées à statuer sur les comptes d'un exercice. L'Assemblée est présidée par l'un des gérants, assisté d'un secrétaire nommé par elle. La composition de l'Assemblée est constatée par une feuille de présence qui est signée des membres présents ou de leurs mandataires et certifiée par le bureau.</w:t>
      </w:r>
    </w:p>
    <w:p>
      <w:pPr>
        <w:ind w:firstLine="454"/>
        <w:jc w:val="both"/>
      </w:pPr>
      <w:r>
        <w:rPr>
          <w:b w:val="0"/>
          <w:i w:val="0"/>
        </w:rPr>
        <w:t>4° – Chaque associé peut se faire représenter aux réunions et délibérations par un mandataire à la condition que ce dernier ait la qualité d'associé et qu'il justifie de son mandat.</w:t>
      </w:r>
    </w:p>
    <w:p>
      <w:pPr>
        <w:ind w:firstLine="454"/>
        <w:jc w:val="both"/>
      </w:pPr>
      <w:r>
        <w:rPr>
          <w:b w:val="0"/>
          <w:i w:val="0"/>
        </w:rPr>
        <w:t>5° – Les décisions collectives qui ne sont pas constatées par un acte signé de tous les associés ou de leurs mandataires sont constatées par des procès-verbaux rédigés sur un registre spécial.</w:t>
      </w:r>
    </w:p>
    <w:p>
      <w:pPr>
        <w:ind w:firstLine="454"/>
        <w:jc w:val="both"/>
      </w:pPr>
      <w:r>
        <w:rPr>
          <w:b w:val="0"/>
          <w:i w:val="0"/>
        </w:rPr>
        <w:t>Ces procès-verbaux sont établis et signés par les gérants lorsque la consultation des associés a eu lieu par correspondance et par les membres du Bureau de l'Assemblée lorsque la décision a été prise en Assemblée générale.</w:t>
      </w:r>
    </w:p>
    <w:p>
      <w:pPr>
        <w:ind w:firstLine="454"/>
        <w:jc w:val="both"/>
      </w:pPr>
      <w:r>
        <w:rPr>
          <w:b w:val="0"/>
          <w:i w:val="0"/>
        </w:rPr>
        <w:t>Les copies et extraits des décisions à produire en justice ou ailleurs sont signés par les gérants ou l'un d'eux.</w:t>
      </w:r>
    </w:p>
    <w:p>
      <w:pPr>
        <w:ind w:firstLine="454"/>
        <w:jc w:val="both"/>
      </w:pPr>
      <w:r>
        <w:rPr>
          <w:b w:val="0"/>
          <w:i w:val="0"/>
        </w:rPr>
        <w:t>Après la dissolution de la société et pendant la période de liquidation, ces copies ou extraits sont signés par le ou l'un des liquidateurs.</w:t>
      </w:r>
    </w:p>
    <w:p>
      <w:pPr>
        <w:ind w:firstLine="454"/>
        <w:jc w:val="both"/>
      </w:pPr>
      <w:r>
        <w:rPr>
          <w:b w:val="0"/>
          <w:i w:val="0"/>
        </w:rPr>
        <w:t>6° – Les décisions collectives régulièrement prises obligent tous les associés, même absents, dissidents ou incapables.</w:t>
      </w:r>
    </w:p>
    <w:p>
      <w:pPr>
        <w:pStyle w:val="Heading2"/>
      </w:pPr>
      <w:r>
        <w:t>ARTICLE 17 – ANNÉE SOCIALE</w:t>
      </w:r>
    </w:p>
    <w:p>
      <w:pPr>
        <w:ind w:firstLine="454"/>
        <w:jc w:val="both"/>
      </w:pPr>
      <w:r>
        <w:rPr>
          <w:b w:val="0"/>
          <w:i w:val="0"/>
        </w:rPr>
        <w:t>L'année sociale commence le premier janvier et finit le trente et un décembre. Par exception, le premier exercice commence ce jour pour finir le trente et un décembre mil neuf cent soixante huit.</w:t>
      </w:r>
    </w:p>
    <w:p>
      <w:pPr>
        <w:pStyle w:val="Heading2"/>
      </w:pPr>
      <w:r>
        <w:t>ARTICLE 18 – INVENTAIRE – BILAN – APPROBATION DES COMPTES ANNUELS</w:t>
      </w:r>
    </w:p>
    <w:p>
      <w:pPr>
        <w:ind w:firstLine="454"/>
        <w:jc w:val="both"/>
      </w:pPr>
      <w:r>
        <w:rPr>
          <w:b w:val="0"/>
          <w:i w:val="0"/>
        </w:rPr>
        <w:t>Les écritures de la société seront tenues conformément aux lois et usages du commerce.</w:t>
      </w:r>
    </w:p>
    <w:p>
      <w:pPr>
        <w:ind w:firstLine="454"/>
        <w:jc w:val="both"/>
      </w:pPr>
      <w:r>
        <w:rPr>
          <w:b w:val="0"/>
          <w:i w:val="0"/>
        </w:rPr>
        <w:t>À la clôture de chaque exercice, la gérance dresse l'inventaire des divers éléments de l'actif et du passif existant à cette date.</w:t>
      </w:r>
    </w:p>
    <w:p>
      <w:pPr>
        <w:ind w:firstLine="454"/>
        <w:jc w:val="both"/>
      </w:pPr>
      <w:r>
        <w:rPr>
          <w:b w:val="0"/>
          <w:i w:val="0"/>
        </w:rPr>
        <w:t>Elle dresse également le compte d'exploitation générale, le compte de pertes et profits et le bilan.</w:t>
      </w:r>
    </w:p>
    <w:p>
      <w:pPr>
        <w:ind w:firstLine="454"/>
        <w:jc w:val="both"/>
      </w:pPr>
      <w:r>
        <w:rPr>
          <w:b w:val="0"/>
          <w:i w:val="0"/>
        </w:rPr>
        <w:t xml:space="preserve">Lors de l'établissement de ces documents, elle procède, conformément aux dispositions des articles 342 et 343 de la loi du 24 juillet 1966, et même en cas d'absence ou d'insuffisance des bénéfices, aux amortissements et provisions nécessaires pour que le bilan soit </w:t>
      </w:r>
      <w:r>
        <w:rPr>
          <w:b w:val="0"/>
          <w:i w:val="0"/>
          <w:strike/>
          <w:color w:val="999999"/>
        </w:rPr>
        <w:t>nécessaire</w:t>
      </w:r>
      <w:r>
        <w:rPr>
          <w:b w:val="0"/>
          <w:i w:val="0"/>
        </w:rPr>
        <w:t xml:space="preserve"> </w:t>
      </w:r>
      <w:r>
        <w:rPr>
          <w:b w:val="0"/>
          <w:i/>
          <w:color w:val="1F3F7A"/>
        </w:rPr>
        <w:t>sincère</w:t>
      </w:r>
      <w:r>
        <w:rPr>
          <w:b w:val="0"/>
          <w:i w:val="0"/>
        </w:rPr>
        <w:t>.</w:t>
      </w:r>
    </w:p>
    <w:p>
      <w:pPr>
        <w:ind w:firstLine="454"/>
        <w:jc w:val="both"/>
      </w:pPr>
      <w:r>
        <w:rPr>
          <w:b w:val="0"/>
          <w:i w:val="0"/>
        </w:rPr>
        <w:t>Elle établit un rapport écrit sur la situation de la société et l'activité de celle-ci pendant l'exercice écoulé.</w:t>
      </w:r>
    </w:p>
    <w:p>
      <w:pPr>
        <w:ind w:firstLine="454"/>
        <w:jc w:val="both"/>
      </w:pPr>
      <w:r>
        <w:rPr>
          <w:b w:val="0"/>
          <w:i w:val="0"/>
        </w:rPr>
        <w:t>Le compte d'exploitation générale, le compte de pertes et profits et le bilan sont établis chaque exercice selon les mêmes formes et les mêmes méthodes d'évaluation que les années précédentes.</w:t>
      </w:r>
    </w:p>
    <w:p>
      <w:pPr>
        <w:ind w:firstLine="454"/>
        <w:jc w:val="both"/>
      </w:pPr>
      <w:r>
        <w:rPr>
          <w:b w:val="0"/>
          <w:i w:val="0"/>
          <w:strike/>
          <w:color w:val="999999"/>
        </w:rPr>
        <w:t>[Paragraphe rayé dans l'original, commençant par « Toutefois, … »]</w:t>
      </w:r>
    </w:p>
    <w:p>
      <w:pPr>
        <w:ind w:firstLine="454"/>
        <w:jc w:val="both"/>
      </w:pPr>
      <w:r>
        <w:rPr>
          <w:b w:val="0"/>
          <w:i w:val="0"/>
        </w:rPr>
        <w:t>Toutefois, en cas de proposition de modification, les associés, par décision collective, au vu des comptes établis selon les formes et méthodes tant anciennes que nouvelles et sur rapport de la gérance, se prononcent sur les modifications proposées.</w:t>
      </w:r>
    </w:p>
    <w:p>
      <w:pPr>
        <w:ind w:firstLine="454"/>
        <w:jc w:val="both"/>
      </w:pPr>
      <w:r>
        <w:rPr>
          <w:b w:val="0"/>
          <w:i w:val="0"/>
        </w:rPr>
        <w:t>Les documents ci-dessus visés sont soumis à l'approbation de l'assemblée des associés dans le délai de six mois à compter de la clôture dudit exercice.</w:t>
      </w:r>
    </w:p>
    <w:p>
      <w:pPr>
        <w:ind w:firstLine="454"/>
        <w:jc w:val="both"/>
      </w:pPr>
      <w:r>
        <w:rPr>
          <w:b w:val="0"/>
          <w:i w:val="0"/>
        </w:rPr>
        <w:t>À cette fin, lesdits documents, ainsi que le texte des résolutions proposées, sont communiqués aux associés dans les conditions et délais légaux.</w:t>
      </w:r>
    </w:p>
    <w:p>
      <w:pPr>
        <w:pStyle w:val="Heading2"/>
      </w:pPr>
      <w:r>
        <w:t>ARTICLE 19 – CONTRÔLE</w:t>
      </w:r>
    </w:p>
    <w:p>
      <w:pPr>
        <w:ind w:firstLine="454"/>
        <w:jc w:val="both"/>
      </w:pPr>
      <w:r>
        <w:rPr>
          <w:b w:val="0"/>
          <w:i w:val="0"/>
        </w:rPr>
        <w:t>Les associés non gérants, s'il en existe, ont le droit, deux fois par an, d'obtenir communication des livres et documents sociaux et de poser par écrit des questions sur la gestion sociale, auxquelles il doit être répondu également par écrit.</w:t>
      </w:r>
    </w:p>
    <w:p>
      <w:pPr>
        <w:pStyle w:val="Heading2"/>
      </w:pPr>
      <w:r>
        <w:t>ARTICLE 20 – RÉPARTITION DES BÉNÉFICES ET DES PERTES</w:t>
      </w:r>
    </w:p>
    <w:p>
      <w:pPr>
        <w:ind w:firstLine="454"/>
        <w:jc w:val="both"/>
      </w:pPr>
      <w:r>
        <w:rPr>
          <w:b w:val="0"/>
          <w:i w:val="0"/>
        </w:rPr>
        <w:t>Les produits nets de chaque exercice, déduction faite des frais généraux et autres charges de la société, y compris tous amortissements et provisions constitués en conformité des stipulations de l'article 18, constituent les bénéfices nets ou les pertes de l'exercice.</w:t>
      </w:r>
    </w:p>
    <w:p>
      <w:pPr>
        <w:ind w:firstLine="454"/>
        <w:jc w:val="both"/>
      </w:pPr>
      <w:r>
        <w:rPr>
          <w:b w:val="0"/>
          <w:i w:val="0"/>
        </w:rPr>
        <w:t>Le bénéfice distribuable est constitué par le bénéfice net de l'exercice, diminué des pertes antérieures.</w:t>
      </w:r>
    </w:p>
    <w:p>
      <w:pPr>
        <w:ind w:firstLine="454"/>
        <w:jc w:val="both"/>
      </w:pPr>
      <w:r>
        <w:rPr>
          <w:b w:val="0"/>
          <w:i w:val="0"/>
        </w:rPr>
        <w:t>Ce bénéfice appartiendra aux associés dans la proportion de leurs droits dans le capital social.</w:t>
      </w:r>
    </w:p>
    <w:p>
      <w:pPr>
        <w:ind w:firstLine="454"/>
        <w:jc w:val="both"/>
      </w:pPr>
      <w:r>
        <w:rPr>
          <w:b w:val="0"/>
          <w:i w:val="0"/>
        </w:rPr>
        <w:t>Quant aux pertes, s'il en existe, elles seront portées à un compte « pertes antérieures » qui sera inscrit à l'actif du bilan pour être imputé sur les bénéfices ultérieurs, à moins que les associés ne décident de les éteindre, auquel cas, elles seraient supportées par eux, proportionnellement à leurs droits dans les bénéfices.</w:t>
      </w:r>
    </w:p>
    <w:p>
      <w:pPr>
        <w:pStyle w:val="Heading2"/>
      </w:pPr>
      <w:r>
        <w:t>ARTICLE 21 – CAS DE DÉCÈS</w:t>
      </w:r>
    </w:p>
    <w:p>
      <w:pPr>
        <w:ind w:firstLine="454"/>
        <w:jc w:val="both"/>
      </w:pPr>
      <w:r>
        <w:rPr>
          <w:b w:val="0"/>
          <w:i w:val="0"/>
        </w:rPr>
        <w:t>Les cas de décès sont réglés de la façon suivante :</w:t>
      </w:r>
    </w:p>
    <w:p>
      <w:pPr>
        <w:ind w:firstLine="454"/>
        <w:jc w:val="both"/>
      </w:pPr>
      <w:r>
        <w:rPr>
          <w:b w:val="0"/>
          <w:i w:val="0"/>
        </w:rPr>
        <w:t>I. – En cas de décès de l'un des associés, la société ne sera pas dissoute de plein droit, chacun des héritiers, y compris le conjoint survivant le cas échéant, aura le choix :</w:t>
      </w:r>
    </w:p>
    <w:p>
      <w:r>
        <w:rPr>
          <w:b w:val="0"/>
          <w:i w:val="0"/>
        </w:rPr>
        <w:t>– soit d'entrer dans la société comme associé en nom, avec ou sans participation à la gérance, mais sous réserve de l'agrément des associés en nom survivants s'il demande à participer à la gérance ;</w:t>
      </w:r>
    </w:p>
    <w:p>
      <w:r>
        <w:rPr>
          <w:b w:val="0"/>
          <w:i w:val="0"/>
        </w:rPr>
        <w:t>– soit d'y entrer en qualité de simple commanditaire ;</w:t>
      </w:r>
    </w:p>
    <w:p>
      <w:r>
        <w:rPr>
          <w:b w:val="0"/>
          <w:i w:val="0"/>
        </w:rPr>
        <w:t>– soit de demander à être remboursé dans les conditions ci-après fixées, de la valeur de la part lui revenant dans les droits sociaux de son auteur.</w:t>
      </w:r>
    </w:p>
    <w:p>
      <w:pPr>
        <w:ind w:firstLine="454"/>
        <w:jc w:val="both"/>
      </w:pPr>
      <w:r>
        <w:rPr>
          <w:b w:val="0"/>
          <w:i w:val="0"/>
        </w:rPr>
        <w:t>Si parmi les héritiers il existe des mineurs non émancipés, ceux-ci ne peuvent entrer dans la société qu'en qualité de commanditaires.</w:t>
      </w:r>
    </w:p>
    <w:p>
      <w:pPr>
        <w:ind w:firstLine="454"/>
        <w:jc w:val="both"/>
      </w:pPr>
      <w:r>
        <w:rPr>
          <w:b w:val="0"/>
          <w:i w:val="0"/>
        </w:rPr>
        <w:t>II. – L'option pour l'une ou l'autre de ces solutions devra être exercée dans les trois mois du décès et signifiée, dans ce même délai, à chacun des associés survivants par lettre recommandée, faute de quoi, l'héritier ou le conjoint sera censé avoir opté pour le remboursement de ses droits dans la société.</w:t>
      </w:r>
    </w:p>
    <w:p>
      <w:pPr>
        <w:ind w:firstLine="454"/>
        <w:jc w:val="both"/>
      </w:pPr>
      <w:r>
        <w:rPr>
          <w:b w:val="0"/>
          <w:i w:val="0"/>
        </w:rPr>
        <w:t>III. – Si le conjoint et les héritiers du défunt ou certains d'entre eux optent pour leur entrée dans la société, celle-ci continuera d'exister entre, d'une part les associés survivants et, d'autre part, les bénéficiaires de la stipulation selon la qualité qu'ils auront prise et pour la fraction des droits sociaux de leur auteur qui leur sera attribuée, sauf à tenir compte à la succession de la valeur desdits droits déterminée comme il sera dit ci-après au § V.</w:t>
      </w:r>
    </w:p>
    <w:p>
      <w:pPr>
        <w:ind w:firstLine="454"/>
        <w:jc w:val="both"/>
      </w:pPr>
      <w:r>
        <w:rPr>
          <w:b w:val="0"/>
          <w:i w:val="0"/>
        </w:rPr>
        <w:t>Les bénéfices nets annuels seront désormais répartis de la manière suivante :</w:t>
      </w:r>
    </w:p>
    <w:p>
      <w:r>
        <w:rPr>
          <w:b w:val="0"/>
          <w:i w:val="0"/>
        </w:rPr>
        <w:t>– une fraction à la gérance, déterminée ci-après, à titre de complément de la rémunération des fonctions du ou des gérants ;</w:t>
      </w:r>
    </w:p>
    <w:p>
      <w:r>
        <w:rPr>
          <w:b w:val="0"/>
          <w:i w:val="0"/>
        </w:rPr>
        <w:t>– le surplus à tous les associés, sans distinction de qualité, proportionnellement à leurs droits dans le capital.</w:t>
      </w:r>
    </w:p>
    <w:p>
      <w:pPr>
        <w:ind w:firstLine="454"/>
        <w:jc w:val="both"/>
      </w:pPr>
      <w:r>
        <w:rPr>
          <w:b w:val="0"/>
          <w:i w:val="0"/>
        </w:rPr>
        <w:t xml:space="preserve">Si aucun des héritiers du défunt, ni le conjoint le cas échéant, ne demande à participer à la gérance ou si sa demande n'est pas agréée, la fraction de bénéfices revenant au gérant restant en fonctions sera de </w:t>
      </w:r>
      <w:r>
        <w:rPr>
          <w:b w:val="0"/>
          <w:i/>
          <w:color w:val="1F3F7A"/>
        </w:rPr>
        <w:t>Quinze pour Cent</w:t>
      </w:r>
      <w:r>
        <w:rPr>
          <w:b w:val="0"/>
          <w:i w:val="0"/>
        </w:rPr>
        <w:t>, cette fraction étant répartie entre les gérants s'ils sont plusieurs, par égalité entre eux.</w:t>
      </w:r>
    </w:p>
    <w:p>
      <w:pPr>
        <w:ind w:firstLine="454"/>
        <w:jc w:val="both"/>
      </w:pPr>
      <w:r>
        <w:rPr>
          <w:b w:val="0"/>
          <w:i w:val="0"/>
        </w:rPr>
        <w:t xml:space="preserve">Par contre, si les héritiers ou le conjoint ou l'un ou plusieurs d'entre eux sont agréés pour participer à la gérance, cette fraction sera portée de </w:t>
      </w:r>
      <w:r>
        <w:rPr>
          <w:b w:val="0"/>
          <w:i/>
          <w:color w:val="1F3F7A"/>
        </w:rPr>
        <w:t>Quinze pour Cent</w:t>
      </w:r>
      <w:r>
        <w:rPr>
          <w:b w:val="0"/>
          <w:i w:val="0"/>
        </w:rPr>
        <w:t xml:space="preserve"> à </w:t>
      </w:r>
      <w:r>
        <w:rPr>
          <w:b w:val="0"/>
          <w:i/>
          <w:color w:val="1F3F7A"/>
        </w:rPr>
        <w:t>Vingt pour Cent</w:t>
      </w:r>
      <w:r>
        <w:rPr>
          <w:b w:val="0"/>
          <w:i w:val="0"/>
        </w:rPr>
        <w:t>, la différence constituant la participation du ou des nouveaux gérants.</w:t>
      </w:r>
    </w:p>
    <w:p>
      <w:pPr>
        <w:ind w:firstLine="454"/>
        <w:jc w:val="both"/>
      </w:pPr>
      <w:r>
        <w:rPr>
          <w:b w:val="0"/>
          <w:i w:val="0"/>
        </w:rPr>
        <w:t>Les pertes, s'il en survient, incomberont aux associés anciens et nouveaux dans la proportion de leurs droits dans les bénéfices sans toutefois que les commanditaires, s'il en existe, puissent en être tenus au-delà du montant de leur commandite.</w:t>
      </w:r>
    </w:p>
    <w:p>
      <w:pPr>
        <w:ind w:firstLine="454"/>
        <w:jc w:val="both"/>
      </w:pPr>
      <w:r>
        <w:rPr>
          <w:b w:val="0"/>
          <w:i w:val="0"/>
        </w:rPr>
        <w:t>Cette répartition de bénéfices et de pertes produira son effet à compter du premier jour de l'exercice en cours au décès si celui-ci intervient dans le premier semestre de l'exercice et, à compter du premier jour de l'exercice suivant, si le décès intervient au cours du deuxième semestre de l'exercice.</w:t>
      </w:r>
    </w:p>
    <w:p>
      <w:pPr>
        <w:ind w:firstLine="454"/>
        <w:jc w:val="both"/>
      </w:pPr>
      <w:r>
        <w:rPr>
          <w:b w:val="0"/>
          <w:i w:val="0"/>
        </w:rPr>
        <w:t>Dans cette dernière hypothèse, la participation bénéficiaire du défunt sera liquidée sur l'exercice entier et payée à ses ayants-droit aussitôt après l'approbation des comptes dudit exercice et, au plus tard, dans les six mois de la clôture de l'exercice.</w:t>
      </w:r>
    </w:p>
    <w:p>
      <w:pPr>
        <w:ind w:firstLine="454"/>
        <w:jc w:val="both"/>
      </w:pPr>
      <w:r>
        <w:rPr>
          <w:b w:val="0"/>
          <w:i w:val="0"/>
        </w:rPr>
        <w:t>Toutes ces modifications seront constatées dans un acte régulier qui interviendra entre les associés survivants et les associés nouveaux et qui sera publié conformément à la loi.</w:t>
      </w:r>
    </w:p>
    <w:p>
      <w:pPr>
        <w:ind w:firstLine="454"/>
        <w:jc w:val="both"/>
      </w:pPr>
      <w:r>
        <w:rPr>
          <w:b w:val="0"/>
          <w:i w:val="0"/>
        </w:rPr>
        <w:t>Le compte des appointements du défunt sera arrêté à la fin du mois en cours au décès et payé immédiatement.</w:t>
      </w:r>
    </w:p>
    <w:p>
      <w:pPr>
        <w:ind w:firstLine="454"/>
        <w:jc w:val="both"/>
      </w:pPr>
      <w:r>
        <w:rPr>
          <w:b w:val="0"/>
          <w:i w:val="0"/>
        </w:rPr>
        <w:t>Le montant des sommes que le défunt aurait déposées en compte courant dans la caisse sociale sera remboursé à ses ayants-droit en capital et intérêt, dans les conditions prévues ci-dessus à l'article ...... [non complété].</w:t>
      </w:r>
    </w:p>
    <w:p>
      <w:pPr>
        <w:ind w:firstLine="454"/>
        <w:jc w:val="both"/>
      </w:pPr>
      <w:r>
        <w:rPr>
          <w:b w:val="0"/>
          <w:i w:val="0"/>
        </w:rPr>
        <w:t xml:space="preserve">IV. – Si aucun des héritiers, ni le conjoint le cas échéant, n'opte pour son entrée dans la société, comme dans le cas où la demande qu'ils auraient formulée d'être agréés comme associés en nom et gérants aurait été refusée, la société continuera entre les seuls associés survivants, à moins que ces derniers ne décident d'un commun accord entre eux la dissolution de la société pour cause de décès et sa mise en liquidation, la décision à cet égard devant intervenir dans les </w:t>
      </w:r>
      <w:r>
        <w:rPr>
          <w:b w:val="0"/>
          <w:i w:val="0"/>
          <w:strike/>
          <w:color w:val="999999"/>
        </w:rPr>
        <w:t>trois</w:t>
      </w:r>
      <w:r>
        <w:rPr>
          <w:b w:val="0"/>
          <w:i w:val="0"/>
        </w:rPr>
        <w:t xml:space="preserve"> </w:t>
      </w:r>
      <w:r>
        <w:rPr>
          <w:b w:val="0"/>
          <w:i/>
          <w:color w:val="1F3F7A"/>
        </w:rPr>
        <w:t>six</w:t>
      </w:r>
      <w:r>
        <w:rPr>
          <w:b w:val="0"/>
          <w:i w:val="0"/>
        </w:rPr>
        <w:t xml:space="preserve"> [renvoi en marge] mois de l'expiration du délai d'option fixé au § II, sous peine de forclusion.</w:t>
      </w:r>
    </w:p>
    <w:p>
      <w:pPr>
        <w:ind w:firstLine="454"/>
        <w:jc w:val="both"/>
      </w:pPr>
      <w:r>
        <w:rPr>
          <w:b w:val="0"/>
          <w:i w:val="0"/>
        </w:rPr>
        <w:t>Si les associés survivants se prononcent pour la continuation de la société, celle-ci sera débitrice envers les héritiers et, le cas échéant, le conjoint du défunt, de la valeur des droits sociaux de leur auteur déterminée comme il est dit ci-après au § V.</w:t>
      </w:r>
    </w:p>
    <w:p>
      <w:pPr>
        <w:ind w:firstLine="454"/>
        <w:jc w:val="both"/>
      </w:pPr>
      <w:r>
        <w:rPr>
          <w:b w:val="0"/>
          <w:i w:val="0"/>
        </w:rPr>
        <w:t xml:space="preserve">Cette valeur devra leur être payée par la société, à titre de réduction de son capital dans le délai de </w:t>
      </w:r>
      <w:r>
        <w:rPr>
          <w:b w:val="0"/>
          <w:i/>
          <w:color w:val="1F3F7A"/>
        </w:rPr>
        <w:t>trois</w:t>
      </w:r>
      <w:r>
        <w:rPr>
          <w:b w:val="0"/>
          <w:i w:val="0"/>
        </w:rPr>
        <w:t xml:space="preserve"> années à compter de la date du rapport de l'expert chargé de la déterminer en </w:t>
      </w:r>
      <w:r>
        <w:rPr>
          <w:b w:val="0"/>
          <w:i/>
          <w:color w:val="1F3F7A"/>
        </w:rPr>
        <w:t>six</w:t>
      </w:r>
      <w:r>
        <w:rPr>
          <w:b w:val="0"/>
          <w:i w:val="0"/>
        </w:rPr>
        <w:t xml:space="preserve"> semestrialités égales, avec intérêt au taux de </w:t>
      </w:r>
      <w:r>
        <w:rPr>
          <w:b w:val="0"/>
          <w:i/>
          <w:color w:val="1F3F7A"/>
        </w:rPr>
        <w:t>Cinq pour Cent</w:t>
      </w:r>
      <w:r>
        <w:rPr>
          <w:b w:val="0"/>
          <w:i w:val="0"/>
        </w:rPr>
        <w:t>, à compter du jour du décès payable avec chaque échéance, sur le capital restant dû.</w:t>
      </w:r>
    </w:p>
    <w:p>
      <w:pPr>
        <w:ind w:firstLine="454"/>
        <w:jc w:val="both"/>
      </w:pPr>
      <w:r>
        <w:rPr>
          <w:b w:val="0"/>
          <w:i w:val="0"/>
        </w:rPr>
        <w:t>Ladite valeur s'imputera, d'abord et à due concurrence, sur le montant nominal des droits sociaux remboursés qui seront annulés et, pour le surplus, le cas échéant, sur les réserves sociales.</w:t>
      </w:r>
    </w:p>
    <w:p>
      <w:pPr>
        <w:ind w:firstLine="454"/>
        <w:jc w:val="both"/>
      </w:pPr>
      <w:r>
        <w:rPr>
          <w:b w:val="0"/>
          <w:i w:val="0"/>
        </w:rPr>
        <w:t>Si les associés survivants le préfèrent, ils pourront racheter personnellement ou faire racheter en tout ou partie, par toutes personnes de leur choix, les droits sociaux du défunt au même prix mais selon des conditions et modalités de paiement qui devront être agréées par les cédants.</w:t>
      </w:r>
    </w:p>
    <w:p>
      <w:pPr>
        <w:ind w:firstLine="454"/>
        <w:jc w:val="both"/>
      </w:pPr>
      <w:r>
        <w:rPr>
          <w:b w:val="0"/>
          <w:i w:val="0"/>
        </w:rPr>
        <w:t>Quelle que soit la solution adoptée, elle sera constatée dans un acte régulier qui sera publié conformément à la loi.</w:t>
      </w:r>
    </w:p>
    <w:p>
      <w:pPr>
        <w:ind w:firstLine="454"/>
        <w:jc w:val="both"/>
      </w:pPr>
      <w:r>
        <w:rPr>
          <w:b w:val="0"/>
          <w:i w:val="0"/>
        </w:rPr>
        <w:t>La participation du défunt dans les bénéfices de l'exercice en cours au jour du décès sera réglée prorata temporis, aussitôt après l'approbation des comptes dudit exercice, et, au plus tard dans les six mois de la clôture de l'exercice.</w:t>
      </w:r>
    </w:p>
    <w:p>
      <w:pPr>
        <w:ind w:firstLine="454"/>
        <w:jc w:val="both"/>
      </w:pPr>
      <w:r>
        <w:rPr>
          <w:b w:val="0"/>
          <w:i w:val="0"/>
        </w:rPr>
        <w:t>Son compte d'appointement sera arrêté à la fin du mois en cours au décès et payé immédiatement.</w:t>
      </w:r>
    </w:p>
    <w:p>
      <w:pPr>
        <w:ind w:firstLine="454"/>
        <w:jc w:val="both"/>
      </w:pPr>
      <w:r>
        <w:rPr>
          <w:b w:val="0"/>
          <w:i w:val="0"/>
        </w:rPr>
        <w:t>Quant au montant des sommes qu'il aurait déposées en compte courant dans la caisse sociale, il sera remboursé en capital et intérêt dans les conditions prévues ci-dessus à l'article ...... [non complété].</w:t>
      </w:r>
    </w:p>
    <w:p>
      <w:pPr>
        <w:ind w:firstLine="454"/>
        <w:jc w:val="both"/>
      </w:pPr>
      <w:r>
        <w:rPr>
          <w:b w:val="0"/>
          <w:i w:val="0"/>
        </w:rPr>
        <w:t>Ces divers règlements seront effectués aux héritiers ou ayants-droit du défunt.</w:t>
      </w:r>
    </w:p>
    <w:p>
      <w:pPr>
        <w:ind w:firstLine="454"/>
        <w:jc w:val="both"/>
      </w:pPr>
      <w:r>
        <w:rPr>
          <w:b w:val="0"/>
          <w:i w:val="0"/>
        </w:rPr>
        <w:t xml:space="preserve">V. – Dans tous les cas où, en application des dispositions qui précèdent, il y aurait lieu de déterminer la valeur des droits sociaux du défunt, cette valeur sera fixée au jour du décès en conformité avec l'article 1868, alinéa 5, du Code Civil, c'est-à-dire par un expert désigné parmi ceux inscrits sur les listes du tribunal de Grande Instance ou de la cour d'appel du lieu </w:t>
      </w:r>
      <w:r>
        <w:rPr>
          <w:b w:val="0"/>
          <w:i w:val="0"/>
          <w:strike/>
          <w:color w:val="999999"/>
        </w:rPr>
        <w:t>du lieu</w:t>
      </w:r>
      <w:r>
        <w:rPr>
          <w:b w:val="0"/>
          <w:i w:val="0"/>
        </w:rPr>
        <w:t xml:space="preserve"> du siège social, soit par les parties, soit, à défaut d'accord entre elles, par ordonnance du président du Tribunal statuant en la forme des référés et sans recours possible.</w:t>
      </w:r>
    </w:p>
    <w:p>
      <w:pPr>
        <w:pStyle w:val="Heading2"/>
      </w:pPr>
      <w:r>
        <w:t>ARTICLE 22 – FAILLITE ET INCAPACITÉ</w:t>
      </w:r>
    </w:p>
    <w:p>
      <w:pPr>
        <w:ind w:firstLine="454"/>
        <w:jc w:val="both"/>
      </w:pPr>
      <w:r>
        <w:rPr>
          <w:b w:val="0"/>
          <w:i w:val="0"/>
        </w:rPr>
        <w:t>En cas de faillite, d'interdiction d'exercer une profession commerciale ou d'incapacité frappant l'un des associés, la société est dissoute, à moins que les autres associés ne décident à l'unanimité sa continuation entre eux.</w:t>
      </w:r>
    </w:p>
    <w:p>
      <w:pPr>
        <w:ind w:firstLine="454"/>
        <w:jc w:val="both"/>
      </w:pPr>
      <w:r>
        <w:rPr>
          <w:b w:val="0"/>
          <w:i w:val="0"/>
        </w:rPr>
        <w:t>Dans le cas de continuation, la valeur des droits sociaux à rembourser à l'associé qui perd cette qualité est déterminée conformément aux dispositions de l'article 1868, alinéa 5, du Code Civil.</w:t>
      </w:r>
    </w:p>
    <w:p>
      <w:pPr>
        <w:ind w:firstLine="454"/>
        <w:jc w:val="both"/>
      </w:pPr>
      <w:r>
        <w:rPr>
          <w:b w:val="0"/>
          <w:i w:val="0"/>
        </w:rPr>
        <w:t>Ce remboursement entraîne la réduction du capital social dans les conditions prévues sous l'article ...... [non complété], § IV.</w:t>
      </w:r>
    </w:p>
    <w:p>
      <w:pPr>
        <w:pStyle w:val="Heading2"/>
      </w:pPr>
      <w:r>
        <w:t>ARTICLE 23 – PROPRIÉTÉ DU FONDS SOCIAL</w:t>
      </w:r>
    </w:p>
    <w:p>
      <w:pPr>
        <w:ind w:firstLine="454"/>
        <w:jc w:val="both"/>
      </w:pPr>
      <w:r>
        <w:rPr>
          <w:b w:val="0"/>
          <w:i w:val="0"/>
        </w:rPr>
        <w:t>La société est seule propriétaire du fonds social.</w:t>
      </w:r>
    </w:p>
    <w:p>
      <w:pPr>
        <w:ind w:firstLine="454"/>
        <w:jc w:val="both"/>
      </w:pPr>
      <w:r>
        <w:rPr>
          <w:b w:val="0"/>
          <w:i w:val="0"/>
        </w:rPr>
        <w:t>En conséquence,</w:t>
      </w:r>
    </w:p>
    <w:p>
      <w:pPr>
        <w:ind w:firstLine="454"/>
        <w:jc w:val="both"/>
      </w:pPr>
      <w:r>
        <w:rPr>
          <w:b w:val="0"/>
          <w:i w:val="0"/>
        </w:rPr>
        <w:t>Les héritiers, représentants ou créanciers d'un associé ne peuvent, sous aucun prétexte, provoquer l'apposition de scellés sur les biens et papiers de la société, en demander la licitation et le partage, ni s'immiscer en aucune manière dans son administration.</w:t>
      </w:r>
    </w:p>
    <w:p>
      <w:pPr>
        <w:ind w:firstLine="454"/>
        <w:jc w:val="both"/>
      </w:pPr>
      <w:r>
        <w:rPr>
          <w:b w:val="0"/>
          <w:i w:val="0"/>
        </w:rPr>
        <w:t>Ils doivent, pour l'exercice de leurs droits, s'en rapporter exclusivement aux inventaires annuels et aux décisions de la gérance et des associés et ne peuvent faire que des actes conservatoires entre les mains des autres associés.</w:t>
      </w:r>
    </w:p>
    <w:p>
      <w:pPr>
        <w:pStyle w:val="Heading2"/>
      </w:pPr>
      <w:r>
        <w:t>ARTICLE 24 – CESSION DE PARTS SOCIALES</w:t>
      </w:r>
    </w:p>
    <w:p>
      <w:pPr>
        <w:ind w:firstLine="454"/>
        <w:jc w:val="both"/>
      </w:pPr>
      <w:r>
        <w:rPr>
          <w:b w:val="0"/>
          <w:i w:val="0"/>
        </w:rPr>
        <w:t>Les parts sociales ne peuvent être cédées qu'avec le consentement de tous les associés.</w:t>
      </w:r>
    </w:p>
    <w:p>
      <w:pPr>
        <w:ind w:firstLine="454"/>
        <w:jc w:val="both"/>
      </w:pPr>
      <w:r>
        <w:rPr>
          <w:b w:val="0"/>
          <w:i w:val="0"/>
        </w:rPr>
        <w:t>La cession doit être constatée par écrit.</w:t>
      </w:r>
    </w:p>
    <w:p>
      <w:pPr>
        <w:ind w:firstLine="454"/>
        <w:jc w:val="both"/>
      </w:pPr>
      <w:r>
        <w:rPr>
          <w:b w:val="0"/>
          <w:i w:val="0"/>
        </w:rPr>
        <w:t>Elle est rendue opposable à la société dans les formes prévues à l'article 1690 du Code Civil.</w:t>
      </w:r>
    </w:p>
    <w:p>
      <w:pPr>
        <w:ind w:firstLine="454"/>
        <w:jc w:val="both"/>
      </w:pPr>
      <w:r>
        <w:rPr>
          <w:b w:val="0"/>
          <w:i w:val="0"/>
        </w:rPr>
        <w:t>Elle n'est opposable aux tiers qu'après l'accomplissement de ces formalités et, en outre, après publicité au registre du commerce.</w:t>
      </w:r>
    </w:p>
    <w:p>
      <w:pPr>
        <w:pStyle w:val="Heading2"/>
      </w:pPr>
      <w:r>
        <w:t>ARTICLE 25 – PERTE DES TROIS QUARTS DU CAPITAL SOCIAL – RACHAT DE DROITS SOCIAUX</w:t>
      </w:r>
    </w:p>
    <w:p>
      <w:pPr>
        <w:ind w:firstLine="454"/>
        <w:jc w:val="both"/>
      </w:pPr>
      <w:r>
        <w:rPr>
          <w:b w:val="0"/>
          <w:i w:val="0"/>
        </w:rPr>
        <w:t>I. – Dans le cas où un ou plusieurs inventaires successifs feraient ressortir une perte égale ou supérieure aux trois quarts du capital social, chaque associé aura le droit de demander la dissolution de la société, à la condition, sous peine de forclusion, de formuler sa demande dans le délai d'un mois à compter du jour de l'assemblée générale ou de la décision collective ayant approuvé les comptes et le bilan faisant ressortir cette perte.</w:t>
      </w:r>
    </w:p>
    <w:p>
      <w:pPr>
        <w:ind w:firstLine="454"/>
        <w:jc w:val="both"/>
      </w:pPr>
      <w:r>
        <w:rPr>
          <w:b w:val="0"/>
          <w:i w:val="0"/>
        </w:rPr>
        <w:t>II. – Si un ou plusieurs des associés demandent ainsi la dissolution, comme dans le cas où celle-ci serait demandée en vertu de la faculté réservée sous l'article 3 des présents statuts, le ou les associés en nom, ou l'un d'eux, pourront écarter ladite demande en effectuant l'acquisition des droits sociaux du ou des demandeurs en dissolution à un prix fixé dans les conditions prévues à l'article 1868, alinéa 5 du Code Civil et en faisant connaître leur intention à cet égard par lettre recommandée dans le mois de la demande en dissolution.</w:t>
      </w:r>
    </w:p>
    <w:p>
      <w:pPr>
        <w:ind w:firstLine="454"/>
        <w:jc w:val="both"/>
      </w:pPr>
      <w:r>
        <w:rPr>
          <w:b w:val="0"/>
          <w:i w:val="0"/>
        </w:rPr>
        <w:t xml:space="preserve">Ce prix sera payé dans le délai de </w:t>
      </w:r>
      <w:r>
        <w:rPr>
          <w:b w:val="0"/>
          <w:i/>
          <w:color w:val="1F3F7A"/>
        </w:rPr>
        <w:t>six mois</w:t>
      </w:r>
      <w:r>
        <w:rPr>
          <w:b w:val="0"/>
          <w:i w:val="0"/>
        </w:rPr>
        <w:t xml:space="preserve"> à compter de la date du rapport de l'expert chargé de le déterminer, avec intérêts au taux de </w:t>
      </w:r>
      <w:r>
        <w:rPr>
          <w:b w:val="0"/>
          <w:i/>
          <w:color w:val="1F3F7A"/>
        </w:rPr>
        <w:t>Cinq pour Cent</w:t>
      </w:r>
      <w:r>
        <w:rPr>
          <w:b w:val="0"/>
          <w:i w:val="0"/>
        </w:rPr>
        <w:t xml:space="preserve"> par an à compter de la même date, payables en même temps que le principal.</w:t>
      </w:r>
    </w:p>
    <w:p>
      <w:pPr>
        <w:ind w:firstLine="454"/>
        <w:jc w:val="both"/>
      </w:pPr>
      <w:r>
        <w:rPr>
          <w:b w:val="0"/>
          <w:i w:val="0"/>
        </w:rPr>
        <w:t>Dans les deux cas prévus ci-dessus, et si la dissolution est demandée par tous les associés, sauf un associé en nom, ce dernier, en faisant connaître son intention comme il est dit plus haut, aura le droit, soit de conserver pour son compte personnel tout l'actif social à la charge d'acquitter tout le passif et de rembourser à ses co-associés le montant de leurs droits, soit de faire acquérir les droits sociaux du ou des demandeurs en dissolution par toutes personnes de son choix.</w:t>
      </w:r>
    </w:p>
    <w:p>
      <w:pPr>
        <w:ind w:firstLine="454"/>
        <w:jc w:val="both"/>
      </w:pPr>
      <w:r>
        <w:rPr>
          <w:b w:val="0"/>
          <w:i w:val="0"/>
        </w:rPr>
        <w:t>Dans l'une et l'autre hypothèse, le montant du remboursement ou le prix de cession sera déterminé également dans les conditions prévues à l'article 1868 susvisé, alinéa 5, du Code Civil et payable comme il est dit ci-dessus sous l'alinéa 3 du présent article.</w:t>
      </w:r>
    </w:p>
    <w:p>
      <w:pPr>
        <w:ind w:firstLine="454"/>
        <w:jc w:val="both"/>
      </w:pPr>
      <w:r>
        <w:rPr>
          <w:b w:val="0"/>
          <w:i w:val="0"/>
        </w:rPr>
        <w:t>Dans les différents cas de rachats ci-dessus énoncés :</w:t>
      </w:r>
    </w:p>
    <w:p>
      <w:r>
        <w:rPr>
          <w:b w:val="0"/>
          <w:i w:val="0"/>
        </w:rPr>
        <w:t>– le compte des appointements du cédant sera arrêté à la fin du mois au cours duquel l'acte de cession sera régularisé et payé immédiatement ;</w:t>
      </w:r>
    </w:p>
    <w:p>
      <w:r>
        <w:rPr>
          <w:b w:val="0"/>
          <w:i w:val="0"/>
        </w:rPr>
        <w:t>– son compte courant, s'il en possède un, lui sera remboursé dans le même délai que celui prévu pour le paiement de ses droits sociaux, avec les intérêts initialement fixés, calculés jusqu'au jour du remboursement ;</w:t>
      </w:r>
    </w:p>
    <w:p>
      <w:r>
        <w:rPr>
          <w:b w:val="0"/>
          <w:i w:val="0"/>
        </w:rPr>
        <w:t xml:space="preserve">– le débiteur aura la faculté de se libérer par anticipation, mais seulement par fractions qui ne pourront être inférieures au montant d'une échéance et à charge d'un préavis de </w:t>
      </w:r>
      <w:r>
        <w:rPr>
          <w:b w:val="0"/>
          <w:i/>
          <w:color w:val="1F3F7A"/>
        </w:rPr>
        <w:t>deux</w:t>
      </w:r>
      <w:r>
        <w:rPr>
          <w:b w:val="0"/>
          <w:i w:val="0"/>
        </w:rPr>
        <w:t xml:space="preserve"> mois par écrit ou d'un versement de </w:t>
      </w:r>
      <w:r>
        <w:rPr>
          <w:b w:val="0"/>
          <w:i/>
          <w:color w:val="1F3F7A"/>
        </w:rPr>
        <w:t>deux</w:t>
      </w:r>
      <w:r>
        <w:rPr>
          <w:b w:val="0"/>
          <w:i w:val="0"/>
        </w:rPr>
        <w:t xml:space="preserve"> mois d'intérêts de plus que ceux échus lors du remboursement anticipé ; tous paiements anticipés devront</w:t>
      </w:r>
    </w:p>
    <w:p>
      <w:r>
        <w:rPr>
          <w:b w:val="0"/>
          <w:i/>
          <w:color w:val="666666"/>
          <w:sz w:val="19"/>
        </w:rPr>
        <w:t>[Le texte s'interrompt ici en bas de la 21ème page et reprend en haut de la 22ème page au milieu d'une phrase relative à la liquidation : une partie du texte (fin de l'article 25 et début de l'article relatif à la dissolution – liquidation) manque dans l'original lui-même ; les folios 55239 et 55240 se suivent, aucune page n'a été perdue lors de la numérisation.]</w:t>
      </w:r>
    </w:p>
    <w:p>
      <w:pPr>
        <w:ind w:firstLine="454"/>
        <w:jc w:val="both"/>
      </w:pPr>
      <w:r>
        <w:rPr>
          <w:b w:val="0"/>
          <w:i w:val="0"/>
        </w:rPr>
        <w:t>[… la liquidation est faite] par un ou plusieurs liquidateurs, pris parmi les associés ou en dehors d'eux, nommés par décision collective extraordinaire des associés et, à défaut d'entente, par le Président du Tribunal de Commerce du lieu du siège social, à la requête de la partie la plus diligente.</w:t>
      </w:r>
    </w:p>
    <w:p>
      <w:pPr>
        <w:ind w:firstLine="454"/>
        <w:jc w:val="both"/>
      </w:pPr>
      <w:r>
        <w:rPr>
          <w:b w:val="0"/>
          <w:i w:val="0"/>
        </w:rPr>
        <w:t>La dissolution de la société et la nomination du ou des liquidateurs ou leur désignation statutaire, sont publiées conformément à la loi, dans les plus courts délais, par les soins du ou des liquidateurs.</w:t>
      </w:r>
    </w:p>
    <w:p>
      <w:pPr>
        <w:ind w:firstLine="454"/>
        <w:jc w:val="both"/>
      </w:pPr>
      <w:r>
        <w:rPr>
          <w:b w:val="0"/>
          <w:i w:val="0"/>
        </w:rPr>
        <w:t>Le liquidateur ou chacun d'eux s'ils sont plusieurs a, vis-à-vis des tiers, les pouvoirs les plus étendus pour réaliser l'actif et acquitter le passif. S'ils sont plusieurs, ils peuvent agir ensemble ou séparément et, dans leurs rapports avec les associés, l'exercice de leurs pouvoirs peut être réglementé par décision collective extraordinaire des associés, soit lors de leur nomination, soit ultérieurement.</w:t>
      </w:r>
    </w:p>
    <w:p>
      <w:pPr>
        <w:ind w:firstLine="454"/>
        <w:jc w:val="both"/>
      </w:pPr>
      <w:r>
        <w:rPr>
          <w:b w:val="0"/>
          <w:i w:val="0"/>
        </w:rPr>
        <w:t>III. – Le liquidateur peut, s'il y est autorisé par décision collective extraordinaire des associés, céder globalement l'actif de la société ou l'apporter à une autre société, notamment par voie de fusion.</w:t>
      </w:r>
    </w:p>
    <w:p>
      <w:pPr>
        <w:ind w:firstLine="454"/>
        <w:jc w:val="both"/>
      </w:pPr>
      <w:r>
        <w:rPr>
          <w:b w:val="0"/>
          <w:i w:val="0"/>
        </w:rPr>
        <w:t>IV. – Le liquidateur établit dans les trois mois de la clôture de chaque exercice, l'inventaire, le compte d'exploitation générale, le compte de pertes et profits et un rapport écrit par lequel il rend compte des opérations de liquidation au cours de l'exercice écoulé.</w:t>
      </w:r>
    </w:p>
    <w:p>
      <w:pPr>
        <w:ind w:firstLine="454"/>
        <w:jc w:val="both"/>
      </w:pPr>
      <w:r>
        <w:rPr>
          <w:b w:val="0"/>
          <w:i w:val="0"/>
        </w:rPr>
        <w:t xml:space="preserve">Sauf dispense accordée par décision collective ordinaire des associés, ces documents sont soumis à l'approbation des associés, sous la forme et dans les délais prévus aux articles </w:t>
      </w:r>
      <w:r>
        <w:rPr>
          <w:b w:val="0"/>
          <w:i/>
          <w:color w:val="1F3F7A"/>
        </w:rPr>
        <w:t>16</w:t>
      </w:r>
      <w:r>
        <w:rPr>
          <w:b w:val="0"/>
          <w:i w:val="0"/>
        </w:rPr>
        <w:t xml:space="preserve"> et </w:t>
      </w:r>
      <w:r>
        <w:rPr>
          <w:b w:val="0"/>
          <w:i/>
          <w:color w:val="1F3F7A"/>
        </w:rPr>
        <w:t>18</w:t>
      </w:r>
      <w:r>
        <w:rPr>
          <w:b w:val="0"/>
          <w:i w:val="0"/>
        </w:rPr>
        <w:t xml:space="preserve"> des présents statuts.</w:t>
      </w:r>
    </w:p>
    <w:p>
      <w:pPr>
        <w:ind w:firstLine="454"/>
        <w:jc w:val="both"/>
      </w:pPr>
      <w:r>
        <w:rPr>
          <w:b w:val="0"/>
          <w:i w:val="0"/>
        </w:rPr>
        <w:t>En période de liquidation, les associés peuvent prendre communication des documents sociaux dans les mêmes conditions qu'antérieurement.</w:t>
      </w:r>
    </w:p>
    <w:p>
      <w:pPr>
        <w:ind w:firstLine="454"/>
        <w:jc w:val="both"/>
      </w:pPr>
      <w:r>
        <w:rPr>
          <w:b w:val="0"/>
          <w:i w:val="0"/>
        </w:rPr>
        <w:t>Sous réserve des droits des créanciers, le liquidateur décide, sous sa responsabilité, ou propose à l'approbation de la collectivité ordinaire des associés, la répartition des fonds disponibles en cours de liquidation.</w:t>
      </w:r>
    </w:p>
    <w:p>
      <w:pPr>
        <w:ind w:firstLine="454"/>
        <w:jc w:val="both"/>
      </w:pPr>
      <w:r>
        <w:rPr>
          <w:b w:val="0"/>
          <w:i w:val="0"/>
        </w:rPr>
        <w:t>Le produit net de la liquidation, après l'extinction du passif et des charges sociales, est employé à rembourser les comptes courants des associés s'il en existe, ainsi que le montant de leurs droits dans le capital social.</w:t>
      </w:r>
    </w:p>
    <w:p>
      <w:pPr>
        <w:ind w:firstLine="454"/>
        <w:jc w:val="both"/>
      </w:pPr>
      <w:r>
        <w:rPr>
          <w:b w:val="0"/>
          <w:i w:val="0"/>
        </w:rPr>
        <w:t>Le solde, s'il en existe un, constituant le boni de liquidation, est réparti entre les associés dans la même proportion que les bénéfices annuels.</w:t>
      </w:r>
    </w:p>
    <w:p>
      <w:pPr>
        <w:ind w:firstLine="454"/>
        <w:jc w:val="both"/>
      </w:pPr>
      <w:r>
        <w:rPr>
          <w:b w:val="0"/>
          <w:i w:val="0"/>
        </w:rPr>
        <w:t>Si les résultats de la liquidation accusent des pertes, celles-ci seront supportées par les associés dans la même proportion, sans toutefois que les commanditaires, s'il en existe, puissent en être tenus au-delà du montant de leur commandite.</w:t>
      </w:r>
    </w:p>
    <w:p>
      <w:pPr>
        <w:ind w:firstLine="454"/>
        <w:jc w:val="both"/>
      </w:pPr>
      <w:r>
        <w:rPr>
          <w:b w:val="0"/>
          <w:i w:val="0"/>
        </w:rPr>
        <w:t>V. – En fin de liquidation, le liquidateur soumet les comptes définitifs de liquidation aux associés qui, par décision collective ordinaire, statuent sur lesdits comptes, sur le quitus de la gestion du liquidateur et la décharge de son mandat et pour constater la clôture de la liquidation.</w:t>
      </w:r>
    </w:p>
    <w:p>
      <w:pPr>
        <w:ind w:firstLine="454"/>
        <w:jc w:val="both"/>
      </w:pPr>
      <w:r>
        <w:rPr>
          <w:b w:val="0"/>
          <w:i w:val="0"/>
        </w:rPr>
        <w:t>À défaut, tout associé peut demander en justice la désignation d'un mandataire chargé de convoquer les associés et de provoquer la décision dont il s'agit.</w:t>
      </w:r>
    </w:p>
    <w:p>
      <w:pPr>
        <w:ind w:firstLine="454"/>
        <w:jc w:val="both"/>
      </w:pPr>
      <w:r>
        <w:rPr>
          <w:b w:val="0"/>
          <w:i w:val="0"/>
        </w:rPr>
        <w:t>Si l'assemblée de clôture ne peut délibérer valablement, ou si elle refuse d'approuver les comptes du liquidateur, il est statué par décision de justice, à la demande de celui-ci ou de tout intéressé.</w:t>
      </w:r>
    </w:p>
    <w:p>
      <w:pPr>
        <w:ind w:firstLine="454"/>
        <w:jc w:val="both"/>
      </w:pPr>
      <w:r>
        <w:rPr>
          <w:b w:val="0"/>
          <w:i w:val="0"/>
        </w:rPr>
        <w:t>L'avis de clôture de la liquidation est publié conformément à la loi.</w:t>
      </w:r>
    </w:p>
    <w:p>
      <w:pPr>
        <w:pStyle w:val="Heading2"/>
      </w:pPr>
      <w:r>
        <w:t>ARTICLE 26 – CONTESTATIONS</w:t>
      </w:r>
    </w:p>
    <w:p>
      <w:pPr>
        <w:ind w:firstLine="454"/>
        <w:jc w:val="both"/>
      </w:pPr>
      <w:r>
        <w:rPr>
          <w:b w:val="0"/>
          <w:i w:val="0"/>
        </w:rPr>
        <w:t>Toutes contestations relatives aux affaires sociales qui pourront s'élever entre les associés ou entre la société et les associés pendant la durée de la société ou sa liquidation, seront soumises aux tribunaux compétents du siège social.</w:t>
      </w:r>
    </w:p>
    <w:p>
      <w:pPr>
        <w:ind w:firstLine="454"/>
        <w:jc w:val="both"/>
      </w:pPr>
      <w:r>
        <w:rPr>
          <w:b w:val="0"/>
          <w:i w:val="0"/>
        </w:rPr>
        <w:t>En conséquence, tout associé devra faire élection de domicile dans le ressort judiciaire du siège social et toutes assignations et significations seront régulièrement délivrées à ce domicile élu.</w:t>
      </w:r>
    </w:p>
    <w:p>
      <w:pPr>
        <w:ind w:firstLine="454"/>
        <w:jc w:val="both"/>
      </w:pPr>
      <w:r>
        <w:rPr>
          <w:b w:val="0"/>
          <w:i w:val="0"/>
        </w:rPr>
        <w:t>À défaut d'élection de domicile, les assignations et significations seront valablement faites au parquet de Monsieur le Procureur de la République du siège social.</w:t>
      </w:r>
    </w:p>
    <w:p>
      <w:pPr>
        <w:pStyle w:val="Heading2"/>
      </w:pPr>
      <w:r>
        <w:t>ARTICLE 27 – ÉLECTION DE DOMICILE</w:t>
      </w:r>
    </w:p>
    <w:p>
      <w:pPr>
        <w:ind w:firstLine="454"/>
        <w:jc w:val="both"/>
      </w:pPr>
      <w:r>
        <w:rPr>
          <w:b w:val="0"/>
          <w:i w:val="0"/>
        </w:rPr>
        <w:t>Pour l'exécution des présentes, les parties font élection de domicile au siège social de la société, avec attribution de juridiction au tribunal de commerce de ce siège.</w:t>
      </w:r>
    </w:p>
    <w:p>
      <w:pPr>
        <w:pStyle w:val="Heading2"/>
      </w:pPr>
      <w:r>
        <w:t>ARTICLE 28 – PUBLICITÉ – IMMATRICULATION AU REGISTRE DU COMMERCE – JOUISSANCE DE LA PERSONNALITÉ MORALE</w:t>
      </w:r>
    </w:p>
    <w:p>
      <w:pPr>
        <w:ind w:firstLine="454"/>
        <w:jc w:val="both"/>
      </w:pPr>
      <w:r>
        <w:rPr>
          <w:b w:val="0"/>
          <w:i w:val="0"/>
        </w:rPr>
        <w:t>I. – Les gérants susnommés s'obligent à remplir dans les délais impartis les formalités de publicité exigées par la loi et à requérir l'immatriculation de la société au registre du commerce des Sables d'Olonne.</w:t>
      </w:r>
    </w:p>
    <w:p>
      <w:pPr>
        <w:ind w:firstLine="454"/>
        <w:jc w:val="both"/>
      </w:pPr>
      <w:r>
        <w:rPr>
          <w:b w:val="0"/>
          <w:i w:val="0"/>
        </w:rPr>
        <w:t>À cet effet, tous pouvoirs sont donnés au porteur d'une expédition ou d'un extrait des présentes pour faire le nécessaire.</w:t>
      </w:r>
    </w:p>
    <w:p>
      <w:pPr>
        <w:ind w:firstLine="454"/>
        <w:jc w:val="both"/>
      </w:pPr>
      <w:r>
        <w:rPr>
          <w:b w:val="0"/>
          <w:i w:val="0"/>
        </w:rPr>
        <w:t>II. – Conformément à la loi, la société jouira de la personnalité morale à dater seulement de son immatriculation au registre du commerce.</w:t>
      </w:r>
    </w:p>
    <w:p>
      <w:pPr>
        <w:ind w:firstLine="454"/>
        <w:jc w:val="both"/>
      </w:pPr>
      <w:r>
        <w:rPr>
          <w:b w:val="0"/>
          <w:i w:val="0"/>
        </w:rPr>
        <w:t>Toutefois, les comparants conviennent que, jusqu'à ce que la société ait acquis la jouissance de la personnalité morale, les actes et engagements entrant dans l'objet social seront accomplis ou souscrits sur la signature conjointe de tous les associés ou avec leur autorisation spéciale.</w:t>
      </w:r>
    </w:p>
    <w:p>
      <w:pPr>
        <w:ind w:firstLine="454"/>
        <w:jc w:val="both"/>
      </w:pPr>
      <w:r>
        <w:rPr>
          <w:b w:val="0"/>
          <w:i w:val="0"/>
        </w:rPr>
        <w:t>Si cette condition est remplie, elle emportera reprise par la société lorsqu'elle aura été immatriculée au registre du commerce, desdits actes ou engagements qui seront réputés avoir été souscrits, dès l'origine de la société.</w:t>
      </w:r>
    </w:p>
    <w:p>
      <w:pPr>
        <w:ind w:firstLine="454"/>
        <w:jc w:val="both"/>
      </w:pPr>
      <w:r>
        <w:rPr>
          <w:b w:val="0"/>
          <w:i w:val="0"/>
        </w:rPr>
        <w:t>Par contre, si la condition n'est pas remplie, les personnes qui auraient agi au nom de la société seraient tenues, solidairement et indéfiniment, des actes ainsi accomplis, à moins que la société, après avoir été régulièrement immatriculée, ne reprenne les engagements souscrits ; ces engagements seraient alors réputés avoir été souscrits dès l'origine, par la société.</w:t>
      </w:r>
    </w:p>
    <w:p>
      <w:pPr>
        <w:ind w:firstLine="454"/>
        <w:jc w:val="both"/>
      </w:pPr>
      <w:r>
        <w:rPr>
          <w:b w:val="0"/>
          <w:i w:val="0"/>
        </w:rPr>
        <w:t>Dès à présent, les comparants décident la réalisation immédiate pour le compte de la société, des actes et engagements suivants, jugés urgents dans l'intérêt social :</w:t>
      </w:r>
    </w:p>
    <w:p>
      <w:r>
        <w:rPr>
          <w:b w:val="0"/>
          <w:i/>
          <w:color w:val="666666"/>
          <w:sz w:val="19"/>
        </w:rPr>
        <w:t>[Aucun acte ni engagement n'est énuméré à la suite dans l'original ; le reste de la 24ème page est laissé en blanc.]</w:t>
      </w:r>
    </w:p>
    <w:p>
      <w:pPr>
        <w:ind w:firstLine="454"/>
        <w:jc w:val="both"/>
      </w:pPr>
      <w:r>
        <w:rPr>
          <w:b w:val="0"/>
          <w:i w:val="0"/>
        </w:rPr>
        <w:t>Prise à bail par la Société présentement constituée, pour une durée de neuf ans à compter de ce jour, des locaux où est exploité le fonds de commerce ci-dessus apporté, moyennant un loyer annuel de QUINZE MILLE FRANCS [lecture incertaine : dactylographie très effacée] payable trimestriellement et à terme échu.</w:t>
      </w:r>
    </w:p>
    <w:p>
      <w:r>
        <w:rPr>
          <w:b w:val="0"/>
          <w:i/>
          <w:color w:val="666666"/>
          <w:sz w:val="19"/>
        </w:rPr>
        <w:t>[Le reste de l'espace est barré de traits dans l'original.]</w:t>
      </w:r>
    </w:p>
    <w:p>
      <w:pPr>
        <w:ind w:firstLine="454"/>
        <w:jc w:val="both"/>
      </w:pPr>
      <w:r>
        <w:rPr>
          <w:b w:val="0"/>
          <w:i w:val="0"/>
        </w:rPr>
        <w:t>Tous pouvoirs sont donnés à la gérance pour exécuter la présente décision et réaliser les opérations prévues ; à cet effet, passer et signer tous actes, souscrire tous engagements et, généralement, faire le nécessaire.</w:t>
      </w:r>
    </w:p>
    <w:p>
      <w:pPr>
        <w:pStyle w:val="Heading2"/>
      </w:pPr>
      <w:r>
        <w:t>ARTICLE 29 – FRAIS</w:t>
      </w:r>
    </w:p>
    <w:p>
      <w:pPr>
        <w:ind w:firstLine="454"/>
        <w:jc w:val="both"/>
      </w:pPr>
      <w:r>
        <w:rPr>
          <w:b w:val="0"/>
          <w:i w:val="0"/>
        </w:rPr>
        <w:t>Les frais, droits et honoraires des présentes et de leurs suites seront supportés par la société, portés au compte des frais généraux et amortis dans la première année et, en tout cas, avant toute distribution de bénéfices.</w:t>
      </w:r>
    </w:p>
    <w:p>
      <w:pPr>
        <w:pStyle w:val="Heading2"/>
      </w:pPr>
      <w:r>
        <w:t>ARTICLE 30 – DÉCLARATION POUR L'ENREGISTREMENT</w:t>
      </w:r>
    </w:p>
    <w:p>
      <w:pPr>
        <w:ind w:firstLine="454"/>
        <w:jc w:val="both"/>
      </w:pPr>
      <w:r>
        <w:rPr>
          <w:b w:val="0"/>
          <w:i w:val="0"/>
        </w:rPr>
        <w:t>Pour la perception du droit d'enregistrement sur l'apport du fonds de commerce, les parties déclarent qu'elles n'entendent pas user, quant à présent, de la faculté que leur réserve l'article 259 du Code Général des Impôts d'opter pour l'assujettissement de la société à l'impôt sur les sociétés.</w:t>
      </w:r>
    </w:p>
    <w:p>
      <w:pPr>
        <w:jc w:val="center"/>
      </w:pPr>
      <w:r>
        <w:rPr>
          <w:b/>
          <w:i w:val="0"/>
        </w:rPr>
        <w:t>DONT ACTE</w:t>
      </w:r>
    </w:p>
    <w:p>
      <w:pPr>
        <w:jc w:val="center"/>
      </w:pPr>
      <w:r>
        <w:rPr>
          <w:b w:val="0"/>
          <w:i w:val="0"/>
        </w:rPr>
        <w:t>Fait et passé à Beauvoir-sur-Mer,</w:t>
      </w:r>
    </w:p>
    <w:p>
      <w:pPr>
        <w:jc w:val="center"/>
      </w:pPr>
      <w:r>
        <w:rPr>
          <w:b w:val="0"/>
          <w:i w:val="0"/>
        </w:rPr>
        <w:t>En l'étude du notaire soussigné,</w:t>
      </w:r>
    </w:p>
    <w:p>
      <w:pPr>
        <w:jc w:val="center"/>
      </w:pPr>
      <w:r>
        <w:rPr>
          <w:b w:val="0"/>
          <w:i w:val="0"/>
        </w:rPr>
        <w:t>L'AN MIL NEUF CENT SOIXANTE HUIT,</w:t>
      </w:r>
    </w:p>
    <w:p>
      <w:pPr>
        <w:jc w:val="center"/>
      </w:pPr>
      <w:r>
        <w:rPr>
          <w:b w:val="0"/>
          <w:i w:val="0"/>
        </w:rPr>
        <w:t>Le deux février, à onze heures trente minutes.</w:t>
      </w:r>
    </w:p>
    <w:p>
      <w:pPr>
        <w:ind w:firstLine="454"/>
        <w:jc w:val="both"/>
      </w:pPr>
      <w:r>
        <w:rPr>
          <w:b w:val="0"/>
          <w:i w:val="0"/>
        </w:rPr>
        <w:t>Avant de clore, conformément à la loi, Me BILLON, notaire soussigné, a donné lecture aux parties qui le reconnaissent des dispositions des articles 678, 821, 1829, 1830, 1837, 1838, 1840 et 1840 B du Code Général des Impôts, ainsi que de l'article 366 du Code Pénal.</w:t>
      </w:r>
    </w:p>
    <w:p>
      <w:pPr>
        <w:ind w:firstLine="454"/>
        <w:jc w:val="both"/>
      </w:pPr>
      <w:r>
        <w:rPr>
          <w:b w:val="0"/>
          <w:i w:val="0"/>
        </w:rPr>
        <w:t>Les parties ont affirmé expressément, sous les peines édictées par l'article 8 de la loi du dix huit avril mil neuf cent dix huit (article 1837 du Code Général des Impôts) que le présent acte exprime l'intégralité des évaluations des apports en nature.</w:t>
      </w:r>
    </w:p>
    <w:p>
      <w:pPr>
        <w:ind w:firstLine="454"/>
        <w:jc w:val="both"/>
      </w:pPr>
      <w:r>
        <w:rPr>
          <w:b w:val="0"/>
          <w:i w:val="0"/>
        </w:rPr>
        <w:t>En outre, le notaire soussigné affirme qu'à sa connaissance le présent acte n'est modifié ou contredit par aucune contre-lettre contenant une augmentation des évaluations convenues.</w:t>
      </w:r>
    </w:p>
    <w:p>
      <w:pPr>
        <w:ind w:firstLine="454"/>
        <w:jc w:val="both"/>
      </w:pPr>
      <w:r>
        <w:rPr>
          <w:b w:val="0"/>
          <w:i w:val="0"/>
        </w:rPr>
        <w:t>Et, après lecture faite, les parties ont signé avec le notaire.</w:t>
      </w:r>
    </w:p>
    <w:p>
      <w:pPr>
        <w:ind w:firstLine="454"/>
        <w:jc w:val="both"/>
      </w:pPr>
      <w:r>
        <w:rPr>
          <w:b w:val="0"/>
          <w:i w:val="0"/>
        </w:rPr>
        <w:t>Suivent les signatures.</w:t>
      </w:r>
    </w:p>
    <w:p>
      <w:pPr>
        <w:ind w:firstLine="454"/>
        <w:jc w:val="both"/>
      </w:pPr>
      <w:r>
        <w:rPr>
          <w:b w:val="0"/>
          <w:i w:val="0"/>
        </w:rPr>
        <w:t>Ensuite est cette mention :</w:t>
      </w:r>
    </w:p>
    <w:p>
      <w:pPr>
        <w:ind w:firstLine="454"/>
        <w:jc w:val="both"/>
      </w:pPr>
      <w:r>
        <w:rPr>
          <w:b w:val="0"/>
          <w:i w:val="0"/>
        </w:rPr>
        <w:t>« ENREGISTRÉ À CHALLANS, Actes Civils, le sept février mil neuf cent soixante huit, Bordereau 82 / 10. Reçu : CINQ CENTS FRANCS ».</w:t>
      </w:r>
    </w:p>
    <w:p>
      <w:pPr>
        <w:jc w:val="right"/>
      </w:pPr>
      <w:r>
        <w:rPr>
          <w:b/>
          <w:i w:val="0"/>
        </w:rPr>
        <w:t>Signé : ARTIGUE.</w:t>
      </w:r>
    </w:p>
    <w:p>
      <w:pPr>
        <w:jc w:val="right"/>
      </w:pPr>
      <w:r>
        <w:rPr>
          <w:b/>
          <w:i w:val="0"/>
        </w:rPr>
        <w:t>POUR EXPÉDITION.</w:t>
      </w:r>
    </w:p>
    <w:p>
      <w:r>
        <w:rPr>
          <w:b w:val="0"/>
          <w:i/>
          <w:color w:val="666666"/>
          <w:sz w:val="19"/>
        </w:rPr>
        <w:t>Mention manuscrite en marge : « Expédition en vingt six pages, contenant sept renvois approuvés, six lignes entières d'écriture rayées nulles, vingt mots rayés nuls, trente huit traits tirés dans vingt six blancs. » – Paraphe et signature du notaire, sceau de l'étude.</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