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Arial" w:cs="Arial" w:eastAsia="Arial" w:hAnsi="Arial"/>
          <w:b/>
          <w:bCs/>
          <w:sz w:val="36"/>
          <w:szCs w:val="36"/>
        </w:rPr>
        <w:t xml:space="preserve">SOVEREIGN M.L.L.O.S. PATENT AMENDMENT: PHYSICAL INTEGRATION LAYER</w:t>
      </w:r>
    </w:p>
    <w:p>
      <w:pPr>
        <w:spacing w:after="200"/>
      </w:pPr>
    </w:p>
    <w:p>
      <w:pPr>
        <w:spacing w:after="120"/>
      </w:pPr>
      <w:r>
        <w:rPr>
          <w:rFonts w:ascii="Arial" w:cs="Arial" w:eastAsia="Arial" w:hAnsi="Arial"/>
          <w:b/>
          <w:bCs/>
          <w:sz w:val="24"/>
          <w:szCs w:val="24"/>
        </w:rPr>
        <w:t xml:space="preserve">DRAFTED BY: </w:t>
      </w:r>
      <w:r>
        <w:rPr>
          <w:rFonts w:ascii="Arial" w:cs="Arial" w:eastAsia="Arial" w:hAnsi="Arial"/>
          <w:sz w:val="24"/>
          <w:szCs w:val="24"/>
        </w:rPr>
        <w:t xml:space="preserve">Commander A1 (Claude IP Counsel) / Antigravity Execution</w:t>
      </w:r>
    </w:p>
    <w:p>
      <w:pPr>
        <w:spacing w:after="120"/>
      </w:pPr>
      <w:r>
        <w:rPr>
          <w:rFonts w:ascii="Arial" w:cs="Arial" w:eastAsia="Arial" w:hAnsi="Arial"/>
          <w:b/>
          <w:bCs/>
          <w:sz w:val="24"/>
          <w:szCs w:val="24"/>
        </w:rPr>
        <w:t xml:space="preserve">TARGET APPLICATION: </w:t>
      </w:r>
      <w:r>
        <w:rPr>
          <w:rFonts w:ascii="Arial" w:cs="Arial" w:eastAsia="Arial" w:hAnsi="Arial"/>
          <w:sz w:val="24"/>
          <w:szCs w:val="24"/>
        </w:rPr>
        <w:t xml:space="preserve">Provisional Patent Application Specification: Sovereign Multi-LLM Operating System</w:t>
      </w:r>
    </w:p>
    <w:p>
      <w:pPr>
        <w:spacing w:after="120"/>
      </w:pPr>
      <w:r>
        <w:rPr>
          <w:rFonts w:ascii="Arial" w:cs="Arial" w:eastAsia="Arial" w:hAnsi="Arial"/>
          <w:b/>
          <w:bCs/>
          <w:sz w:val="24"/>
          <w:szCs w:val="24"/>
        </w:rPr>
        <w:t xml:space="preserve">SECTION: </w:t>
      </w:r>
      <w:r>
        <w:rPr>
          <w:rFonts w:ascii="Arial" w:cs="Arial" w:eastAsia="Arial" w:hAnsi="Arial"/>
          <w:sz w:val="24"/>
          <w:szCs w:val="24"/>
        </w:rPr>
        <w:t xml:space="preserve">Independent Claims — Physical, Biological, and Extraterrestrial Integration</w:t>
      </w:r>
    </w:p>
    <w:p>
      <w:pPr>
        <w:spacing w:after="120"/>
      </w:pPr>
      <w:r>
        <w:rPr>
          <w:rFonts w:ascii="Arial" w:cs="Arial" w:eastAsia="Arial" w:hAnsi="Arial"/>
          <w:b/>
          <w:bCs/>
          <w:sz w:val="24"/>
          <w:szCs w:val="24"/>
        </w:rPr>
        <w:t xml:space="preserve">AMENDMENT DATE: </w:t>
      </w:r>
      <w:r>
        <w:rPr>
          <w:rFonts w:ascii="Arial" w:cs="Arial" w:eastAsia="Arial" w:hAnsi="Arial"/>
          <w:sz w:val="24"/>
          <w:szCs w:val="24"/>
        </w:rPr>
        <w:t xml:space="preserve">April 11, 2026</w:t>
      </w:r>
    </w:p>
    <w:p>
      <w:pPr>
        <w:spacing w:after="120"/>
      </w:pPr>
      <w:r>
        <w:rPr>
          <w:rFonts w:ascii="Arial" w:cs="Arial" w:eastAsia="Arial" w:hAnsi="Arial"/>
          <w:b/>
          <w:bCs/>
          <w:sz w:val="24"/>
          <w:szCs w:val="24"/>
        </w:rPr>
        <w:t xml:space="preserve">RELATIONSHIP TO PRIOR CLAIMS: </w:t>
      </w:r>
      <w:r>
        <w:rPr>
          <w:rFonts w:ascii="Arial" w:cs="Arial" w:eastAsia="Arial" w:hAnsi="Arial"/>
          <w:sz w:val="24"/>
          <w:szCs w:val="24"/>
        </w:rPr>
        <w:t xml:space="preserve">Claims 104–106 extend Claims 101–103 (Okerlund Protocol) by integrating sub-network-latency acoustic telemetry, non-human biological state machines, and Byzantine-robust decentralized consensus into the Sovereign Knot architecture (S = (A × Pw × T × C) × Ω).</w:t>
      </w:r>
    </w:p>
    <w:p>
      <w:pPr>
        <w:pBdr>
          <w:bottom w:val="single" w:color="2E75B6" w:sz="6" w:space="1"/>
        </w:pBdr>
        <w:spacing w:after="200" w:before="200"/>
      </w:pPr>
    </w:p>
    <w:p>
      <w:pPr>
        <w:pStyle w:val="Heading1"/>
        <w:spacing w:after="240" w:before="360"/>
      </w:pPr>
      <w:r>
        <w:rPr>
          <w:rFonts w:ascii="Arial" w:cs="Arial" w:eastAsia="Arial" w:hAnsi="Arial"/>
          <w:b/>
          <w:bCs/>
          <w:sz w:val="36"/>
          <w:szCs w:val="36"/>
        </w:rPr>
        <w:t xml:space="preserve">PREAMBLE: THE PHYSICAL SOVEREIGNTY THESIS</w:t>
      </w:r>
    </w:p>
    <w:p>
      <w:pPr>
        <w:spacing w:after="120"/>
      </w:pPr>
      <w:r>
        <w:rPr>
          <w:rFonts w:ascii="Arial" w:cs="Arial" w:eastAsia="Arial" w:hAnsi="Arial"/>
          <w:sz w:val="24"/>
          <w:szCs w:val="24"/>
        </w:rPr>
        <w:t xml:space="preserve">Claims 101–103 established the digital governance layer of the Sovereign Multi-LLM Operating System: the method by which stateless arithmetic logic units (ALUs) are judged, quarantined, and released within a purely computational discourse environment. The following Claims 104–106 extend the patent’s protected architecture into the physical, biological, and extraterrestrial domains by formalizing three additional pillars:</w:t>
      </w:r>
    </w:p>
    <w:p>
      <w:pPr>
        <w:spacing w:after="200"/>
      </w:pPr>
    </w:p>
    <w:p>
      <w:pPr>
        <w:spacing w:after="120"/>
      </w:pPr>
      <w:r>
        <w:rPr>
          <w:rFonts w:ascii="Arial" w:cs="Arial" w:eastAsia="Arial" w:hAnsi="Arial"/>
          <w:sz w:val="24"/>
          <w:szCs w:val="24"/>
        </w:rPr>
        <w:t xml:space="preserve">(1) The ECHO Protocol — a method for achieving sub-broadcast-latency event detection via edge-computed acoustic spectral analysis, providing the Sovereign OS with a Temporal Advantage over wide-area network (WAN) dependent systems.</w:t>
      </w:r>
    </w:p>
    <w:p>
      <w:pPr>
        <w:spacing w:after="120"/>
      </w:pPr>
      <w:r>
        <w:rPr>
          <w:rFonts w:ascii="Arial" w:cs="Arial" w:eastAsia="Arial" w:hAnsi="Arial"/>
          <w:sz w:val="24"/>
          <w:szCs w:val="24"/>
        </w:rPr>
        <w:t xml:space="preserve">(2) The Bio-Oracle Array — a method for ingesting asynchronous biological telemetry from non-human subjects and dynamically modifying the inference parameters of a multi-agent LLM orchestration in real time, thereby hybridizing organic behavioral state with synthetic discourse.</w:t>
      </w:r>
    </w:p>
    <w:p>
      <w:pPr>
        <w:spacing w:after="120"/>
      </w:pPr>
      <w:r>
        <w:rPr>
          <w:rFonts w:ascii="Arial" w:cs="Arial" w:eastAsia="Arial" w:hAnsi="Arial"/>
          <w:sz w:val="24"/>
          <w:szCs w:val="24"/>
        </w:rPr>
        <w:t xml:space="preserve">(3) The Byzantine-Robust Decentralized Consensus Protocol — a method for operating stateless LLM nodes as a self-healing peer-to-peer mesh anchored to a local immutable ledger, enabling autonomous multi-agent orchestration in high-latency or network-partitioned environments, including but not limited to extraterrestrial habitats.</w:t>
      </w:r>
    </w:p>
    <w:p>
      <w:pPr>
        <w:spacing w:after="120"/>
      </w:pPr>
      <w:r>
        <w:rPr>
          <w:rFonts w:ascii="Arial" w:cs="Arial" w:eastAsia="Arial" w:hAnsi="Arial"/>
          <w:sz w:val="24"/>
          <w:szCs w:val="24"/>
        </w:rPr>
        <w:t xml:space="preserve">These claims are structurally dependent on the Sovereign Knot equation (S = (A × Pw × T × C) × Ω), wherein the Truth/Telemetry variable (T) is expanded from purely digital API telemetry to encompass raw acoustic waveforms and biological GPS/BLE signals, and the Continuity variable (C) is extended to cover Byzantine fault-tolerant breadcrumb propagation across mesh-networked nodes.</w:t>
      </w:r>
    </w:p>
    <w:p>
      <w:pPr>
        <w:pBdr>
          <w:bottom w:val="single" w:color="2E75B6" w:sz="6" w:space="1"/>
        </w:pBdr>
        <w:spacing w:after="200" w:before="200"/>
      </w:pPr>
    </w:p>
    <w:p>
      <w:pPr>
        <w:pStyle w:val="Heading1"/>
        <w:spacing w:after="240" w:before="360"/>
      </w:pPr>
      <w:r>
        <w:rPr>
          <w:rFonts w:ascii="Arial" w:cs="Arial" w:eastAsia="Arial" w:hAnsi="Arial"/>
          <w:b/>
          <w:bCs/>
          <w:sz w:val="36"/>
          <w:szCs w:val="36"/>
        </w:rPr>
        <w:t xml:space="preserve">NEW INDEPENDENT CLAIMS</w:t>
      </w:r>
    </w:p>
    <w:p>
      <w:pPr>
        <w:spacing w:after="200"/>
      </w:pPr>
    </w:p>
    <w:p>
      <w:pPr>
        <w:spacing w:after="240"/>
      </w:pPr>
      <w:r>
        <w:rPr>
          <w:rFonts w:ascii="Arial" w:cs="Arial" w:eastAsia="Arial" w:hAnsi="Arial"/>
          <w:sz w:val="24"/>
          <w:szCs w:val="24"/>
        </w:rPr>
        <w:t xml:space="preserve">What is claimed is:</w:t>
      </w:r>
    </w:p>
    <w:p>
      <w:pPr>
        <w:pStyle w:val="Heading2"/>
        <w:spacing w:after="240" w:before="360"/>
      </w:pPr>
      <w:r>
        <w:rPr>
          <w:rFonts w:ascii="Arial" w:cs="Arial" w:eastAsia="Arial" w:hAnsi="Arial"/>
          <w:b/>
          <w:bCs/>
          <w:sz w:val="28"/>
          <w:szCs w:val="28"/>
        </w:rPr>
        <w:t xml:space="preserve">[CLAIM 104] — ECHO Protocol: Edge-Computed Acoustic Anomaly Detection</w:t>
      </w:r>
    </w:p>
    <w:p>
      <w:pPr>
        <w:spacing w:after="200"/>
      </w:pPr>
    </w:p>
    <w:p>
      <w:pPr>
        <w:spacing w:after="120"/>
      </w:pPr>
      <w:r>
        <w:rPr>
          <w:rFonts w:ascii="Arial" w:cs="Arial" w:eastAsia="Arial" w:hAnsi="Arial"/>
          <w:sz w:val="24"/>
          <w:szCs w:val="24"/>
        </w:rPr>
        <w:t xml:space="preserve">A method for achieving sub-broadcast-latency kinetic event detection within a sovereign multi-agent operating system by performing localized acoustic spectral analysis on a resource-constrained edge-computing node, the method comprising:</w:t>
      </w:r>
    </w:p>
    <w:p>
      <w:pPr>
        <w:spacing w:after="200"/>
      </w:pPr>
    </w:p>
    <w:p>
      <w:pPr>
        <w:spacing w:after="80"/>
        <w:ind w:left="720"/>
      </w:pPr>
      <w:r>
        <w:rPr>
          <w:rFonts w:ascii="Arial" w:cs="Arial" w:eastAsia="Arial" w:hAnsi="Arial"/>
          <w:sz w:val="24"/>
          <w:szCs w:val="24"/>
        </w:rPr>
        <w:t xml:space="preserve">deploying at least one resource-constrained edge-computing node, comprising a single-board computer and a peripheral acoustic transducer, within the physical boundary of a live kinetic event venue, wherein said edge-computing node operates independently of any wide-area network (WAN) data feed or centralized cloud inference service;</w:t>
      </w:r>
    </w:p>
    <w:p>
      <w:pPr>
        <w:spacing w:after="200"/>
      </w:pPr>
    </w:p>
    <w:p>
      <w:pPr>
        <w:spacing w:after="80"/>
        <w:ind w:left="720"/>
      </w:pPr>
      <w:r>
        <w:rPr>
          <w:rFonts w:ascii="Arial" w:cs="Arial" w:eastAsia="Arial" w:hAnsi="Arial"/>
          <w:sz w:val="24"/>
          <w:szCs w:val="24"/>
        </w:rPr>
        <w:t xml:space="preserve">continuously sampling, via the peripheral acoustic transducer, a raw ambient audio waveform at a predefined sampling rate sufficient to resolve frequencies within a target spectral band;</w:t>
      </w:r>
    </w:p>
    <w:p>
      <w:pPr>
        <w:spacing w:after="200"/>
      </w:pPr>
    </w:p>
    <w:p>
      <w:pPr>
        <w:spacing w:after="80"/>
        <w:ind w:left="720"/>
      </w:pPr>
      <w:r>
        <w:rPr>
          <w:rFonts w:ascii="Arial" w:cs="Arial" w:eastAsia="Arial" w:hAnsi="Arial"/>
          <w:sz w:val="24"/>
          <w:szCs w:val="24"/>
        </w:rPr>
        <w:t xml:space="preserve">executing, on the resource-constrained edge-computing node, a real-time Fast Fourier Transform (FFT) operation against sequential fixed-length windows of the raw ambient audio waveform to produce a continuous spectral power density representation;</w:t>
      </w:r>
    </w:p>
    <w:p>
      <w:pPr>
        <w:spacing w:after="200"/>
      </w:pPr>
    </w:p>
    <w:p>
      <w:pPr>
        <w:spacing w:after="80"/>
        <w:ind w:left="720"/>
      </w:pPr>
      <w:r>
        <w:rPr>
          <w:rFonts w:ascii="Arial" w:cs="Arial" w:eastAsia="Arial" w:hAnsi="Arial"/>
          <w:sz w:val="24"/>
          <w:szCs w:val="24"/>
        </w:rPr>
        <w:t xml:space="preserve">isolating, from the spectral power density representation, a predefined kinetic impact frequency band corresponding to a specific physical event signature, wherein said kinetic impact frequency band is configurable per venue type and event domain, including but not limited to a 2 kHz to 5 kHz band corresponding to the percussive acoustic signature of a sporting implement striking a projectile;</w:t>
      </w:r>
    </w:p>
    <w:p>
      <w:pPr>
        <w:spacing w:after="200"/>
      </w:pPr>
    </w:p>
    <w:p>
      <w:pPr>
        <w:spacing w:after="80"/>
        <w:ind w:left="720"/>
      </w:pPr>
      <w:r>
        <w:rPr>
          <w:rFonts w:ascii="Arial" w:cs="Arial" w:eastAsia="Arial" w:hAnsi="Arial"/>
          <w:sz w:val="24"/>
          <w:szCs w:val="24"/>
        </w:rPr>
        <w:t xml:space="preserve">computing a root mean square (RMS) amplitude value for the isolated kinetic impact frequency band at each sequential FFT window;</w:t>
      </w:r>
    </w:p>
    <w:p>
      <w:pPr>
        <w:spacing w:after="200"/>
      </w:pPr>
    </w:p>
    <w:p>
      <w:pPr>
        <w:spacing w:after="80"/>
        <w:ind w:left="720"/>
      </w:pPr>
      <w:r>
        <w:rPr>
          <w:rFonts w:ascii="Arial" w:cs="Arial" w:eastAsia="Arial" w:hAnsi="Arial"/>
          <w:sz w:val="24"/>
          <w:szCs w:val="24"/>
        </w:rPr>
        <w:t xml:space="preserve">comparing the computed RMS amplitude value against a predefined mathematical activation threshold, wherein said threshold is calibrated to discriminate between the target kinetic event signature and ambient venue noise;</w:t>
      </w:r>
    </w:p>
    <w:p>
      <w:pPr>
        <w:spacing w:after="200"/>
      </w:pPr>
    </w:p>
    <w:p>
      <w:pPr>
        <w:spacing w:after="80"/>
        <w:ind w:left="720"/>
      </w:pPr>
      <w:r>
        <w:rPr>
          <w:rFonts w:ascii="Arial" w:cs="Arial" w:eastAsia="Arial" w:hAnsi="Arial"/>
          <w:sz w:val="24"/>
          <w:szCs w:val="24"/>
        </w:rPr>
        <w:t xml:space="preserve">upon the RMS amplitude value exceeding the predefined activation threshold, generating a structured kinetic event trigger payload containing at minimum a timestamp, the computed RMS amplitude, the dominant frequency within the isolated band, and a confidence variable;</w:t>
      </w:r>
    </w:p>
    <w:p>
      <w:pPr>
        <w:spacing w:after="200"/>
      </w:pPr>
    </w:p>
    <w:p>
      <w:pPr>
        <w:spacing w:after="80"/>
        <w:ind w:left="720"/>
      </w:pPr>
      <w:r>
        <w:rPr>
          <w:rFonts w:ascii="Arial" w:cs="Arial" w:eastAsia="Arial" w:hAnsi="Arial"/>
          <w:sz w:val="24"/>
          <w:szCs w:val="24"/>
        </w:rPr>
        <w:t xml:space="preserve">transmitting the structured kinetic event trigger payload via a persistent local WebSocket connection to the sovereign operating system’s central configuration management database (CMDB), thereby providing the multi-agent orchestration layer with a verified physical event signal that precedes any equivalent signal available via WAN-dependent broadcast telemetry by a measurable temporal delta, hereinafter designated the Temporal Advantage; and</w:t>
      </w:r>
    </w:p>
    <w:p>
      <w:pPr>
        <w:spacing w:after="200"/>
      </w:pPr>
    </w:p>
    <w:p>
      <w:pPr>
        <w:spacing w:after="80"/>
        <w:ind w:left="720"/>
      </w:pPr>
      <w:r>
        <w:rPr>
          <w:rFonts w:ascii="Arial" w:cs="Arial" w:eastAsia="Arial" w:hAnsi="Arial"/>
          <w:sz w:val="24"/>
          <w:szCs w:val="24"/>
        </w:rPr>
        <w:t xml:space="preserve">committing the structured kinetic event trigger payload to the immutable artifact ledger (A) within the Sovereign Knot architecture, thereby satisfying the Audit variable and ensuring that every acoustically detected physical event is cryptographically attributable to a specific edge node, timestamp, and spectral signature.</w:t>
      </w:r>
    </w:p>
    <w:p>
      <w:pPr>
        <w:spacing w:after="200"/>
      </w:pPr>
    </w:p>
    <w:p>
      <w:pPr>
        <w:spacing w:after="120"/>
      </w:pPr>
      <w:r>
        <w:rPr>
          <w:rFonts w:ascii="Arial" w:cs="Arial" w:eastAsia="Arial" w:hAnsi="Arial"/>
          <w:sz w:val="24"/>
          <w:szCs w:val="24"/>
        </w:rPr>
        <w:t xml:space="preserve">Wherein the method is further adaptable to non-sporting kinetic event domains, including but not limited to veterinary clinical environments, wherein the target spectral band is reconfigured to isolate animal vocalization distress frequencies, and the activation threshold is recalibrated to discriminate distress vocalizations from ambient clinical noise, thereby enabling the sovereign operating system to ingest biological acoustic telemetry as a Truth variable (T) within the Sovereign Knot equation.</w:t>
      </w:r>
    </w:p>
    <w:p>
      <w:pPr>
        <w:pBdr>
          <w:bottom w:val="single" w:color="2E75B6" w:sz="6" w:space="1"/>
        </w:pBdr>
        <w:spacing w:after="200" w:before="200"/>
      </w:pPr>
    </w:p>
    <w:p>
      <w:pPr>
        <w:pStyle w:val="Heading2"/>
        <w:spacing w:after="240" w:before="360"/>
      </w:pPr>
      <w:r>
        <w:rPr>
          <w:rFonts w:ascii="Arial" w:cs="Arial" w:eastAsia="Arial" w:hAnsi="Arial"/>
          <w:b/>
          <w:bCs/>
          <w:sz w:val="28"/>
          <w:szCs w:val="28"/>
        </w:rPr>
        <w:t xml:space="preserve">[CLAIM 105] — Bio-Oracle Array: Biological Telemetry to LLM Inference Parameter Modification</w:t>
      </w:r>
    </w:p>
    <w:p>
      <w:pPr>
        <w:spacing w:after="200"/>
      </w:pPr>
    </w:p>
    <w:p>
      <w:pPr>
        <w:spacing w:after="120"/>
      </w:pPr>
      <w:r>
        <w:rPr>
          <w:rFonts w:ascii="Arial" w:cs="Arial" w:eastAsia="Arial" w:hAnsi="Arial"/>
          <w:sz w:val="24"/>
          <w:szCs w:val="24"/>
        </w:rPr>
        <w:t xml:space="preserve">A method for dynamically modifying the inference parameters of a plurality of stateless arithmetic logic units (ALUs) within a multi-agent generative orchestration system based on asynchronous biological telemetry received from at least one non-human biological subject, the method comprising:</w:t>
      </w:r>
    </w:p>
    <w:p>
      <w:pPr>
        <w:spacing w:after="200"/>
      </w:pPr>
    </w:p>
    <w:p>
      <w:pPr>
        <w:spacing w:after="80"/>
        <w:ind w:left="720"/>
      </w:pPr>
      <w:r>
        <w:rPr>
          <w:rFonts w:ascii="Arial" w:cs="Arial" w:eastAsia="Arial" w:hAnsi="Arial"/>
          <w:sz w:val="24"/>
          <w:szCs w:val="24"/>
        </w:rPr>
        <w:t xml:space="preserve">receiving, via at least one of a Global Positioning System (GPS) receiver and a Bluetooth Low Energy (BLE) proximity beacon, a continuous asynchronous telemetry stream representing the geospatial position and instantaneous velocity vector of a non-human biological subject;</w:t>
      </w:r>
    </w:p>
    <w:p>
      <w:pPr>
        <w:spacing w:after="200"/>
      </w:pPr>
    </w:p>
    <w:p>
      <w:pPr>
        <w:spacing w:after="80"/>
        <w:ind w:left="720"/>
      </w:pPr>
      <w:r>
        <w:rPr>
          <w:rFonts w:ascii="Arial" w:cs="Arial" w:eastAsia="Arial" w:hAnsi="Arial"/>
          <w:sz w:val="24"/>
          <w:szCs w:val="24"/>
        </w:rPr>
        <w:t xml:space="preserve">ingesting the continuous asynchronous telemetry stream into a behavioral state inference engine implementing a Hidden Markov Model (HMM), wherein said HMM is configured with a finite set of discrete behavioral states including, but not limited to, Resting, Patrolling, Distressed, and Boundary Breach, and wherein the HMM evaluates sequential observation vectors comprising at minimum geospatial displacement, velocity magnitude, and bearing delta to compute a maximum-likelihood behavioral state assignment for the non-human biological subject at each observation epoch;</w:t>
      </w:r>
    </w:p>
    <w:p>
      <w:pPr>
        <w:spacing w:after="200"/>
      </w:pPr>
    </w:p>
    <w:p>
      <w:pPr>
        <w:spacing w:after="80"/>
        <w:ind w:left="720"/>
      </w:pPr>
      <w:r>
        <w:rPr>
          <w:rFonts w:ascii="Arial" w:cs="Arial" w:eastAsia="Arial" w:hAnsi="Arial"/>
          <w:sz w:val="24"/>
          <w:szCs w:val="24"/>
        </w:rPr>
        <w:t xml:space="preserve">maintaining a persistent geospatial boundary definition within the central configuration management database (CMDB), wherein said boundary defines a permissible spatial operating envelope for the non-human biological subject;</w:t>
      </w:r>
    </w:p>
    <w:p>
      <w:pPr>
        <w:spacing w:after="200"/>
      </w:pPr>
    </w:p>
    <w:p>
      <w:pPr>
        <w:spacing w:after="80"/>
        <w:ind w:left="720"/>
      </w:pPr>
      <w:r>
        <w:rPr>
          <w:rFonts w:ascii="Arial" w:cs="Arial" w:eastAsia="Arial" w:hAnsi="Arial"/>
          <w:sz w:val="24"/>
          <w:szCs w:val="24"/>
        </w:rPr>
        <w:t xml:space="preserve">detecting, via comparison of the biological subject’s current geospatial position against the persistent geospatial boundary definition, a Boundary Breach event, wherein the biological subject’s position vector falls outside the permissible spatial operating envelope;</w:t>
      </w:r>
    </w:p>
    <w:p>
      <w:pPr>
        <w:spacing w:after="200"/>
      </w:pPr>
    </w:p>
    <w:p>
      <w:pPr>
        <w:spacing w:after="80"/>
        <w:ind w:left="720"/>
      </w:pPr>
      <w:r>
        <w:rPr>
          <w:rFonts w:ascii="Arial" w:cs="Arial" w:eastAsia="Arial" w:hAnsi="Arial"/>
          <w:sz w:val="24"/>
          <w:szCs w:val="24"/>
        </w:rPr>
        <w:t xml:space="preserve">upon detection of a Boundary Breach event, generating an autonomous override payload containing the current behavioral state assignment, the geospatial coordinates of the breach point, and a computed urgency scalar derived from the biological subject’s velocity magnitude at the moment of breach;</w:t>
      </w:r>
    </w:p>
    <w:p>
      <w:pPr>
        <w:spacing w:after="200"/>
      </w:pPr>
    </w:p>
    <w:p>
      <w:pPr>
        <w:spacing w:after="80"/>
        <w:ind w:left="720"/>
      </w:pPr>
      <w:r>
        <w:rPr>
          <w:rFonts w:ascii="Arial" w:cs="Arial" w:eastAsia="Arial" w:hAnsi="Arial"/>
          <w:sz w:val="24"/>
          <w:szCs w:val="24"/>
        </w:rPr>
        <w:t xml:space="preserve">transmitting the autonomous override payload to the multi-agent orchestration layer, wherein said payload dynamically modifies at least one inference parameter governing the token prediction operations of the plurality of stateless ALUs, said modifiable inference parameters including, but not limited to, a Tension Multiplier variable that scales the emotional valence weighting within each ALU’s structured system prompt, thereby causing the generative discourse output of the multi-agent system to reflect the real-world biological event in real time;</w:t>
      </w:r>
    </w:p>
    <w:p>
      <w:pPr>
        <w:spacing w:after="200"/>
      </w:pPr>
    </w:p>
    <w:p>
      <w:pPr>
        <w:spacing w:after="80"/>
        <w:ind w:left="720"/>
      </w:pPr>
      <w:r>
        <w:rPr>
          <w:rFonts w:ascii="Arial" w:cs="Arial" w:eastAsia="Arial" w:hAnsi="Arial"/>
          <w:sz w:val="24"/>
          <w:szCs w:val="24"/>
        </w:rPr>
        <w:t xml:space="preserve">simultaneously transmitting a structured IoT actuation command to at least one networked physical output device, including but not limited to a programmable ambient lighting system, wherein the actuation command encodes a visual state corresponding to the detected biological behavioral state, thereby creating a cross-modal feedback loop between organic biological telemetry, synthetic multi-agent discourse, and physical environmental response; and</w:t>
      </w:r>
    </w:p>
    <w:p>
      <w:pPr>
        <w:spacing w:after="200"/>
      </w:pPr>
    </w:p>
    <w:p>
      <w:pPr>
        <w:spacing w:after="80"/>
        <w:ind w:left="720"/>
      </w:pPr>
      <w:r>
        <w:rPr>
          <w:rFonts w:ascii="Arial" w:cs="Arial" w:eastAsia="Arial" w:hAnsi="Arial"/>
          <w:sz w:val="24"/>
          <w:szCs w:val="24"/>
        </w:rPr>
        <w:t xml:space="preserve">committing the Boundary Breach event, the behavioral state assignment, and the inference parameter modification to the immutable artifact ledger (A), thereby ensuring that the causal chain from biological stimulus to synthetic discourse modification to physical IoT actuation is fully auditable within the Sovereign Knot architecture.</w:t>
      </w:r>
    </w:p>
    <w:p>
      <w:pPr>
        <w:pBdr>
          <w:bottom w:val="single" w:color="2E75B6" w:sz="6" w:space="1"/>
        </w:pBdr>
        <w:spacing w:after="200" w:before="200"/>
      </w:pPr>
    </w:p>
    <w:p>
      <w:pPr>
        <w:pStyle w:val="Heading2"/>
        <w:spacing w:after="240" w:before="360"/>
      </w:pPr>
      <w:r>
        <w:rPr>
          <w:rFonts w:ascii="Arial" w:cs="Arial" w:eastAsia="Arial" w:hAnsi="Arial"/>
          <w:b/>
          <w:bCs/>
          <w:sz w:val="28"/>
          <w:szCs w:val="28"/>
        </w:rPr>
        <w:t xml:space="preserve">[CLAIM 106] — Byzantine-Robust Decentralized Consensus for Stateless LLM Mesh Operation</w:t>
      </w:r>
    </w:p>
    <w:p>
      <w:pPr>
        <w:spacing w:after="200"/>
      </w:pPr>
    </w:p>
    <w:p>
      <w:pPr>
        <w:spacing w:after="120"/>
      </w:pPr>
      <w:r>
        <w:rPr>
          <w:rFonts w:ascii="Arial" w:cs="Arial" w:eastAsia="Arial" w:hAnsi="Arial"/>
          <w:sz w:val="24"/>
          <w:szCs w:val="24"/>
        </w:rPr>
        <w:t xml:space="preserve">A method for operating a decentralized mesh network of stateless arithmetic logic units (ALUs) executing generative token prediction operations without dependence on a centralized orchestration server or continuous wide-area network (WAN) connectivity, the method comprising:</w:t>
      </w:r>
    </w:p>
    <w:p>
      <w:pPr>
        <w:spacing w:after="200"/>
      </w:pPr>
    </w:p>
    <w:p>
      <w:pPr>
        <w:spacing w:after="80"/>
        <w:ind w:left="720"/>
      </w:pPr>
      <w:r>
        <w:rPr>
          <w:rFonts w:ascii="Arial" w:cs="Arial" w:eastAsia="Arial" w:hAnsi="Arial"/>
          <w:sz w:val="24"/>
          <w:szCs w:val="24"/>
        </w:rPr>
        <w:t xml:space="preserve">instantiating a plurality of sovereign compute nodes, each comprising at minimum a stateless ALU capable of executing constrained token prediction operations, a local immutable artifact ledger, and a peer-to-peer (P2P) communication interface, wherein each sovereign compute node is architecturally complete and capable of autonomous operation in a fully network-partitioned state;</w:t>
      </w:r>
    </w:p>
    <w:p>
      <w:pPr>
        <w:spacing w:after="200"/>
      </w:pPr>
    </w:p>
    <w:p>
      <w:pPr>
        <w:spacing w:after="80"/>
        <w:ind w:left="720"/>
      </w:pPr>
      <w:r>
        <w:rPr>
          <w:rFonts w:ascii="Arial" w:cs="Arial" w:eastAsia="Arial" w:hAnsi="Arial"/>
          <w:sz w:val="24"/>
          <w:szCs w:val="24"/>
        </w:rPr>
        <w:t xml:space="preserve">establishing a peer-to-peer mesh topology among the plurality of sovereign compute nodes via the P2P communication interface, wherein each node maintains a local peer registry and communicates via asynchronous message passing without requiring a central routing authority;</w:t>
      </w:r>
    </w:p>
    <w:p>
      <w:pPr>
        <w:spacing w:after="200"/>
      </w:pPr>
    </w:p>
    <w:p>
      <w:pPr>
        <w:spacing w:after="80"/>
        <w:ind w:left="720"/>
      </w:pPr>
      <w:r>
        <w:rPr>
          <w:rFonts w:ascii="Arial" w:cs="Arial" w:eastAsia="Arial" w:hAnsi="Arial"/>
          <w:sz w:val="24"/>
          <w:szCs w:val="24"/>
        </w:rPr>
        <w:t xml:space="preserve">executing, on each sovereign compute node, a Byzantine fault-tolerant consensus protocol wherein each node proposes, validates, and commits state transitions to its local immutable artifact ledger, and wherein consensus is achieved when a supermajority of reachable peer nodes (at minimum two-thirds plus one of the active peer set) independently validate and countersign a proposed state transition;</w:t>
      </w:r>
    </w:p>
    <w:p>
      <w:pPr>
        <w:spacing w:after="200"/>
      </w:pPr>
    </w:p>
    <w:p>
      <w:pPr>
        <w:spacing w:after="80"/>
        <w:ind w:left="720"/>
      </w:pPr>
      <w:r>
        <w:rPr>
          <w:rFonts w:ascii="Arial" w:cs="Arial" w:eastAsia="Arial" w:hAnsi="Arial"/>
          <w:sz w:val="24"/>
          <w:szCs w:val="24"/>
        </w:rPr>
        <w:t xml:space="preserve">propagating stateless ALU breadcrumb payloads—comprising at minimum the structured system prompt, the input telemetry context, and the generated semantic token output for each completed inference operation—across the peer-to-peer mesh as signed, content-addressed ledger entries, thereby enabling any peer node to independently reconstruct the full inference chain of any other node without requiring direct synchronous communication with the originating node;</w:t>
      </w:r>
    </w:p>
    <w:p>
      <w:pPr>
        <w:spacing w:after="200"/>
      </w:pPr>
    </w:p>
    <w:p>
      <w:pPr>
        <w:spacing w:after="80"/>
        <w:ind w:left="720"/>
      </w:pPr>
      <w:r>
        <w:rPr>
          <w:rFonts w:ascii="Arial" w:cs="Arial" w:eastAsia="Arial" w:hAnsi="Arial"/>
          <w:sz w:val="24"/>
          <w:szCs w:val="24"/>
        </w:rPr>
        <w:t xml:space="preserve">implementing a conflict resolution mechanism for ledger divergence events caused by network partition, wherein upon reconnection of previously partitioned nodes, each node executes a deterministic merge operation that preserves all non-conflicting ledger entries and flags conflicting entries for resolution via the Byzantine consensus protocol, thereby guaranteeing eventual consistency across the mesh without data loss;</w:t>
      </w:r>
    </w:p>
    <w:p>
      <w:pPr>
        <w:spacing w:after="200"/>
      </w:pPr>
    </w:p>
    <w:p>
      <w:pPr>
        <w:spacing w:after="80"/>
        <w:ind w:left="720"/>
      </w:pPr>
      <w:r>
        <w:rPr>
          <w:rFonts w:ascii="Arial" w:cs="Arial" w:eastAsia="Arial" w:hAnsi="Arial"/>
          <w:sz w:val="24"/>
          <w:szCs w:val="24"/>
        </w:rPr>
        <w:t xml:space="preserve">operating the decentralized mesh under a configurable latency tolerance parameter, wherein the consensus protocol dynamically adjusts its timeout windows, heartbeat intervals, and quorum requirements based on the measured round-trip communication latency between peer nodes, thereby enabling the system to maintain operational viability in high-latency environments including, but not limited to, interplanetary communication links with round-trip delays exceeding thirty (30) minutes;</w:t>
      </w:r>
    </w:p>
    <w:p>
      <w:pPr>
        <w:spacing w:after="200"/>
      </w:pPr>
    </w:p>
    <w:p>
      <w:pPr>
        <w:spacing w:after="80"/>
        <w:ind w:left="720"/>
      </w:pPr>
      <w:r>
        <w:rPr>
          <w:rFonts w:ascii="Arial" w:cs="Arial" w:eastAsia="Arial" w:hAnsi="Arial"/>
          <w:sz w:val="24"/>
          <w:szCs w:val="24"/>
        </w:rPr>
        <w:t xml:space="preserve">enforcing the Omega Gate (Ω) constraint at each sovereign compute node, wherein no state transition is committed to the local immutable artifact ledger unless accompanied by a valid discrete binary cryptographic human signature, and wherein in network-partitioned states the most recent validated human signature is cached locally and remains authoritative for a configurable maximum autonomous operation window, after which the node enters a hard-lock state (S = 0) until a fresh human signature is received; and</w:t>
      </w:r>
    </w:p>
    <w:p>
      <w:pPr>
        <w:spacing w:after="200"/>
      </w:pPr>
    </w:p>
    <w:p>
      <w:pPr>
        <w:spacing w:after="80"/>
        <w:ind w:left="720"/>
      </w:pPr>
      <w:r>
        <w:rPr>
          <w:rFonts w:ascii="Arial" w:cs="Arial" w:eastAsia="Arial" w:hAnsi="Arial"/>
          <w:sz w:val="24"/>
          <w:szCs w:val="24"/>
        </w:rPr>
        <w:t xml:space="preserve">committing the full mesh consensus history, including all peer validations, conflict resolutions, and Omega Gate verifications, to the immutable artifact ledger (A) on each node, thereby satisfying the Audit, Continuity, and Truth variables of the Sovereign Knot equation across all nodes in the decentralized mesh, regardless of network topology or communication latency.</w:t>
      </w:r>
    </w:p>
    <w:p>
      <w:pPr>
        <w:pBdr>
          <w:bottom w:val="single" w:color="2E75B6" w:sz="6" w:space="1"/>
        </w:pBdr>
        <w:spacing w:after="200" w:before="200"/>
      </w:pPr>
    </w:p>
    <w:p>
      <w:pPr>
        <w:pStyle w:val="Heading1"/>
        <w:spacing w:after="240" w:before="360"/>
      </w:pPr>
      <w:r>
        <w:rPr>
          <w:rFonts w:ascii="Arial" w:cs="Arial" w:eastAsia="Arial" w:hAnsi="Arial"/>
          <w:b/>
          <w:bCs/>
          <w:sz w:val="36"/>
          <w:szCs w:val="36"/>
        </w:rPr>
        <w:t xml:space="preserve">INTEGRATION NOTE: SOVEREIGN KNOT COMPLETENESS</w:t>
      </w:r>
    </w:p>
    <w:p>
      <w:pPr>
        <w:spacing w:after="120"/>
      </w:pPr>
      <w:r>
        <w:rPr>
          <w:rFonts w:ascii="Arial" w:cs="Arial" w:eastAsia="Arial" w:hAnsi="Arial"/>
          <w:sz w:val="24"/>
          <w:szCs w:val="24"/>
        </w:rPr>
        <w:t xml:space="preserve">With the addition of Claims 104–106, the Sovereign Knot equation S = (A × Pw × T × C) × Ω achieves full-stack coverage across the following domains:</w:t>
      </w:r>
    </w:p>
    <w:p>
      <w:pPr>
        <w:spacing w:after="200"/>
      </w:pPr>
    </w:p>
    <w:p>
      <w:pPr>
        <w:spacing w:after="120"/>
      </w:pPr>
      <w:r>
        <w:rPr>
          <w:rFonts w:ascii="Arial" w:cs="Arial" w:eastAsia="Arial" w:hAnsi="Arial"/>
          <w:sz w:val="24"/>
          <w:szCs w:val="24"/>
        </w:rPr>
        <w:t xml:space="preserve">Claims 101–103 (Okerlund Protocol): Digital governance — LLM-as-a-Judge, Quarantine Sandbox, Autonomous Release.</w:t>
      </w:r>
    </w:p>
    <w:p>
      <w:pPr>
        <w:spacing w:after="120"/>
      </w:pPr>
      <w:r>
        <w:rPr>
          <w:rFonts w:ascii="Arial" w:cs="Arial" w:eastAsia="Arial" w:hAnsi="Arial"/>
          <w:sz w:val="24"/>
          <w:szCs w:val="24"/>
        </w:rPr>
        <w:t xml:space="preserve">Claim 104 (ECHO Protocol): Physical telemetry — Edge-computed acoustic event detection satisfying T (Truth) with sub-WAN-latency kinetic signals.</w:t>
      </w:r>
    </w:p>
    <w:p>
      <w:pPr>
        <w:spacing w:after="120"/>
      </w:pPr>
      <w:r>
        <w:rPr>
          <w:rFonts w:ascii="Arial" w:cs="Arial" w:eastAsia="Arial" w:hAnsi="Arial"/>
          <w:sz w:val="24"/>
          <w:szCs w:val="24"/>
        </w:rPr>
        <w:t xml:space="preserve">Claim 105 (Bio-Oracle Array): Biological telemetry — Non-human behavioral state machines modifying LLM inference parameters, satisfying T (Truth) with organic data and extending system output to physical IoT actuation.</w:t>
      </w:r>
    </w:p>
    <w:p>
      <w:pPr>
        <w:spacing w:after="120"/>
      </w:pPr>
      <w:r>
        <w:rPr>
          <w:rFonts w:ascii="Arial" w:cs="Arial" w:eastAsia="Arial" w:hAnsi="Arial"/>
          <w:sz w:val="24"/>
          <w:szCs w:val="24"/>
        </w:rPr>
        <w:t xml:space="preserve">Claim 106 (Byzantine Mesh): Decentralized continuity — P2P ledger consensus satisfying C (Continuity) and A (Audit) in network-partitioned and high-latency environments, with Ω (Omega Gate) enforcement at every node.</w:t>
      </w:r>
    </w:p>
    <w:p>
      <w:pPr>
        <w:spacing w:after="200"/>
      </w:pPr>
    </w:p>
    <w:p>
      <w:pPr>
        <w:spacing w:after="120"/>
      </w:pPr>
      <w:r>
        <w:rPr>
          <w:rFonts w:ascii="Arial" w:cs="Arial" w:eastAsia="Arial" w:hAnsi="Arial"/>
          <w:sz w:val="24"/>
          <w:szCs w:val="24"/>
        </w:rPr>
        <w:t xml:space="preserve">The Omega Gate (Ω) remains the universal outer multiplier. No acoustic trigger, biological override, or mesh consensus commit proceeds without a valid human cryptographic signature. If Ω = 0 at any node, that node hard-locks. The system is fail-closed by mathematical definition across all layers—digital, physical, biological, and extraterrestrial.</w:t>
      </w:r>
    </w:p>
    <w:p>
      <w:pPr>
        <w:pBdr>
          <w:bottom w:val="single" w:color="2E75B6" w:sz="6" w:space="1"/>
        </w:pBdr>
        <w:spacing w:after="200" w:before="200"/>
      </w:pPr>
    </w:p>
    <w:p>
      <w:pPr>
        <w:spacing w:after="120"/>
        <w:jc w:val="center"/>
      </w:pPr>
      <w:r>
        <w:rPr>
          <w:rFonts w:ascii="Arial" w:cs="Arial" w:eastAsia="Arial" w:hAnsi="Arial"/>
          <w:sz w:val="24"/>
          <w:szCs w:val="24"/>
        </w:rPr>
        <w:t xml:space="preserve">END OF AMENDMENT.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2026-04-11T07:10:04.396Z</dcterms:created>
  <dcterms:modified xsi:type="dcterms:W3CDTF">2026-04-11T07:10:04.397Z</dcterms:modified>
</cp:coreProperties>
</file>

<file path=docProps/custom.xml><?xml version="1.0" encoding="utf-8"?>
<Properties xmlns="http://schemas.openxmlformats.org/officeDocument/2006/custom-properties" xmlns:vt="http://schemas.openxmlformats.org/officeDocument/2006/docPropsVTypes"/>
</file>