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rPr>
          <w:rFonts w:ascii="Arial" w:cs="Arial" w:eastAsia="Arial" w:hAnsi="Arial"/>
          <w:b/>
          <w:bCs/>
          <w:sz w:val="36"/>
          <w:szCs w:val="36"/>
        </w:rPr>
        <w:t xml:space="preserve">SOVEREIGN M.L.L.O.S. PATENT AMENDMENT: THE BIOPHYSICAL OMEGA GATE</w:t>
      </w:r>
    </w:p>
    <w:p>
      <w:pPr>
        <w:spacing w:after="200"/>
      </w:pPr>
    </w:p>
    <w:p>
      <w:pPr>
        <w:spacing w:after="120"/>
      </w:pPr>
      <w:r>
        <w:rPr>
          <w:rFonts w:ascii="Arial" w:cs="Arial" w:eastAsia="Arial" w:hAnsi="Arial"/>
          <w:b/>
          <w:bCs/>
          <w:sz w:val="24"/>
          <w:szCs w:val="24"/>
        </w:rPr>
        <w:t xml:space="preserve">DRAFTED BY: </w:t>
      </w:r>
      <w:r>
        <w:rPr>
          <w:rFonts w:ascii="Arial" w:cs="Arial" w:eastAsia="Arial" w:hAnsi="Arial"/>
          <w:sz w:val="24"/>
          <w:szCs w:val="24"/>
        </w:rPr>
        <w:t xml:space="preserve">Commander A1 (Claude IP Counsel) / Antigravity Execution</w:t>
      </w:r>
    </w:p>
    <w:p>
      <w:pPr>
        <w:spacing w:after="120"/>
      </w:pPr>
      <w:r>
        <w:rPr>
          <w:rFonts w:ascii="Arial" w:cs="Arial" w:eastAsia="Arial" w:hAnsi="Arial"/>
          <w:b/>
          <w:bCs/>
          <w:sz w:val="24"/>
          <w:szCs w:val="24"/>
        </w:rPr>
        <w:t xml:space="preserve">TARGET APPLICATION: </w:t>
      </w:r>
      <w:r>
        <w:rPr>
          <w:rFonts w:ascii="Arial" w:cs="Arial" w:eastAsia="Arial" w:hAnsi="Arial"/>
          <w:sz w:val="24"/>
          <w:szCs w:val="24"/>
        </w:rPr>
        <w:t xml:space="preserve">Provisional Patent Application Specification: Sovereign Multi-LLM Operating System</w:t>
      </w:r>
    </w:p>
    <w:p>
      <w:pPr>
        <w:spacing w:after="120"/>
      </w:pPr>
      <w:r>
        <w:rPr>
          <w:rFonts w:ascii="Arial" w:cs="Arial" w:eastAsia="Arial" w:hAnsi="Arial"/>
          <w:b/>
          <w:bCs/>
          <w:sz w:val="24"/>
          <w:szCs w:val="24"/>
        </w:rPr>
        <w:t xml:space="preserve">SECTION: </w:t>
      </w:r>
      <w:r>
        <w:rPr>
          <w:rFonts w:ascii="Arial" w:cs="Arial" w:eastAsia="Arial" w:hAnsi="Arial"/>
          <w:sz w:val="24"/>
          <w:szCs w:val="24"/>
        </w:rPr>
        <w:t xml:space="preserve">Independent Claims — Multimodal Biophysical Authentication</w:t>
      </w:r>
    </w:p>
    <w:p>
      <w:pPr>
        <w:spacing w:after="120"/>
      </w:pPr>
      <w:r>
        <w:rPr>
          <w:rFonts w:ascii="Arial" w:cs="Arial" w:eastAsia="Arial" w:hAnsi="Arial"/>
          <w:b/>
          <w:bCs/>
          <w:sz w:val="24"/>
          <w:szCs w:val="24"/>
        </w:rPr>
        <w:t xml:space="preserve">AMENDMENT DATE: </w:t>
      </w:r>
      <w:r>
        <w:rPr>
          <w:rFonts w:ascii="Arial" w:cs="Arial" w:eastAsia="Arial" w:hAnsi="Arial"/>
          <w:sz w:val="24"/>
          <w:szCs w:val="24"/>
        </w:rPr>
        <w:t xml:space="preserve">April 11, 2026</w:t>
      </w:r>
    </w:p>
    <w:p>
      <w:pPr>
        <w:spacing w:after="120"/>
      </w:pPr>
      <w:r>
        <w:rPr>
          <w:rFonts w:ascii="Arial" w:cs="Arial" w:eastAsia="Arial" w:hAnsi="Arial"/>
          <w:b/>
          <w:bCs/>
          <w:sz w:val="24"/>
          <w:szCs w:val="24"/>
        </w:rPr>
        <w:t xml:space="preserve">RELATIONSHIP TO PRIOR CLAIMS: </w:t>
      </w:r>
      <w:r>
        <w:rPr>
          <w:rFonts w:ascii="Arial" w:cs="Arial" w:eastAsia="Arial" w:hAnsi="Arial"/>
          <w:sz w:val="24"/>
          <w:szCs w:val="24"/>
        </w:rPr>
        <w:t xml:space="preserve">Claim 107 extends the Omega Gate (Ω) variable of the Sovereign Knot equation from a purely digital cryptographic signature to a multimodal biophysical authentication event, leveraging the acoustic FFT pipeline established in Claim 104 (ECHO Protocol) and introducing a novel capacitive pressure topology biometric. This claim addresses the fundamental vulnerability that a purely digital Ω exists in the same computational domain as the system it governs, and therefore relocates the authentication boundary into the laws of physics and biology.</w:t>
      </w:r>
    </w:p>
    <w:p>
      <w:pPr>
        <w:pBdr>
          <w:bottom w:val="single" w:color="2E75B6" w:sz="6" w:space="1"/>
        </w:pBdr>
        <w:spacing w:after="200" w:before="200"/>
      </w:pPr>
    </w:p>
    <w:p>
      <w:pPr>
        <w:pStyle w:val="Heading1"/>
        <w:spacing w:after="240" w:before="360"/>
      </w:pPr>
      <w:r>
        <w:rPr>
          <w:rFonts w:ascii="Arial" w:cs="Arial" w:eastAsia="Arial" w:hAnsi="Arial"/>
          <w:b/>
          <w:bCs/>
          <w:sz w:val="36"/>
          <w:szCs w:val="36"/>
        </w:rPr>
        <w:t xml:space="preserve">PREAMBLE: THE UNFORGEABLE GATE</w:t>
      </w:r>
    </w:p>
    <w:p>
      <w:pPr>
        <w:spacing w:after="120"/>
      </w:pPr>
      <w:r>
        <w:rPr>
          <w:rFonts w:ascii="Arial" w:cs="Arial" w:eastAsia="Arial" w:hAnsi="Arial"/>
          <w:sz w:val="24"/>
          <w:szCs w:val="24"/>
        </w:rPr>
        <w:t xml:space="preserve">The Sovereign Knot equation S = (A × Pw × T × C) × Ω establishes the Omega Gate as the universal outer multiplier governing all system operations. Claims 101–106 assume Ω is a discrete binary cryptographic signature—a digital key or token. However, a digital key is generated by mathematics, transmitted through software, and validated by code. While sufficient for most operational contexts, this creates a theoretical vulnerability: the authentication mechanism exists within the same computational substrate as the autonomous agents it governs.</w:t>
      </w:r>
    </w:p>
    <w:p>
      <w:pPr>
        <w:spacing w:after="200"/>
      </w:pPr>
    </w:p>
    <w:p>
      <w:pPr>
        <w:spacing w:after="120"/>
      </w:pPr>
      <w:r>
        <w:rPr>
          <w:rFonts w:ascii="Arial" w:cs="Arial" w:eastAsia="Arial" w:hAnsi="Arial"/>
          <w:sz w:val="24"/>
          <w:szCs w:val="24"/>
        </w:rPr>
        <w:t xml:space="preserve">Claim 107 addresses this by formalizing a multimodal biophysical Omega Gate implementation wherein the human cryptographic signature is not a key the operator possesses, but a physical event the operator produces—requiring the simultaneous convergence of capacitive pressure topology biometrics, acoustic spectral signature analysis, and temporal correlation, none of which can be generated, simulated, or reproduced by any software process, including the autonomous agents governed by the system.</w:t>
      </w:r>
    </w:p>
    <w:p>
      <w:pPr>
        <w:spacing w:after="200"/>
      </w:pPr>
    </w:p>
    <w:p>
      <w:pPr>
        <w:spacing w:after="120"/>
      </w:pPr>
      <w:r>
        <w:rPr>
          <w:rFonts w:ascii="Arial" w:cs="Arial" w:eastAsia="Arial" w:hAnsi="Arial"/>
          <w:sz w:val="24"/>
          <w:szCs w:val="24"/>
        </w:rPr>
        <w:t xml:space="preserve">The core novelty is the principle of Domain Separation: the authentication event exists in the physical and biological domains while the system it authenticates operates in the computational domain. No escalation of computational capability—including artificial general intelligence—can bridge this domain gap, because the authentication requires a biological body subject to the laws of thermodynamics, fluid dynamics, and acoustic physics.</w:t>
      </w:r>
    </w:p>
    <w:p>
      <w:pPr>
        <w:pBdr>
          <w:bottom w:val="single" w:color="2E75B6" w:sz="6" w:space="1"/>
        </w:pBdr>
        <w:spacing w:after="200" w:before="200"/>
      </w:pPr>
    </w:p>
    <w:p>
      <w:pPr>
        <w:pStyle w:val="Heading1"/>
        <w:spacing w:after="240" w:before="360"/>
      </w:pPr>
      <w:r>
        <w:rPr>
          <w:rFonts w:ascii="Arial" w:cs="Arial" w:eastAsia="Arial" w:hAnsi="Arial"/>
          <w:b/>
          <w:bCs/>
          <w:sz w:val="36"/>
          <w:szCs w:val="36"/>
        </w:rPr>
        <w:t xml:space="preserve">NEW INDEPENDENT CLAIM</w:t>
      </w:r>
    </w:p>
    <w:p>
      <w:pPr>
        <w:spacing w:after="200"/>
      </w:pPr>
    </w:p>
    <w:p>
      <w:pPr>
        <w:spacing w:after="240"/>
      </w:pPr>
      <w:r>
        <w:rPr>
          <w:rFonts w:ascii="Arial" w:cs="Arial" w:eastAsia="Arial" w:hAnsi="Arial"/>
          <w:sz w:val="24"/>
          <w:szCs w:val="24"/>
        </w:rPr>
        <w:t xml:space="preserve">What is claimed is:</w:t>
      </w:r>
    </w:p>
    <w:p>
      <w:pPr>
        <w:pStyle w:val="Heading2"/>
        <w:spacing w:after="240" w:before="360"/>
      </w:pPr>
      <w:r>
        <w:rPr>
          <w:rFonts w:ascii="Arial" w:cs="Arial" w:eastAsia="Arial" w:hAnsi="Arial"/>
          <w:b/>
          <w:bCs/>
          <w:sz w:val="28"/>
          <w:szCs w:val="28"/>
        </w:rPr>
        <w:t xml:space="preserve">[CLAIM 107] — Multimodal Biophysical Omega Gate: Physically Unforgeable Human Presence Verification for Autonomous AI Governance</w:t>
      </w:r>
    </w:p>
    <w:p>
      <w:pPr>
        <w:spacing w:after="200"/>
      </w:pPr>
    </w:p>
    <w:p>
      <w:pPr>
        <w:spacing w:after="120"/>
      </w:pPr>
      <w:r>
        <w:rPr>
          <w:rFonts w:ascii="Arial" w:cs="Arial" w:eastAsia="Arial" w:hAnsi="Arial"/>
          <w:sz w:val="24"/>
          <w:szCs w:val="24"/>
        </w:rPr>
        <w:t xml:space="preserve">A method for authenticating a human operator’s physical presence as the Omega Gate (Ω) variable within a sovereign multi-agent operating system, wherein the authentication event is multimodal, biophysical, and provably unreproducible by any computational process governed by the system, the method comprising:</w:t>
      </w:r>
    </w:p>
    <w:p>
      <w:pPr>
        <w:spacing w:after="200"/>
      </w:pPr>
    </w:p>
    <w:p>
      <w:pPr>
        <w:spacing w:after="80"/>
        <w:ind w:left="720"/>
      </w:pPr>
      <w:r>
        <w:rPr>
          <w:rFonts w:ascii="Arial" w:cs="Arial" w:eastAsia="Arial" w:hAnsi="Arial"/>
          <w:sz w:val="24"/>
          <w:szCs w:val="24"/>
        </w:rPr>
        <w:t xml:space="preserve">(a) deploying a capacitive pressure-sensing surface comprising a two-dimensional array of capacitive sensor elements at a spatial resolution sufficient to resolve the unique topological pressure distribution pattern of a human operator’s anatomy when seated upon said surface, wherein each capacitive sensor element independently measures localized force magnitude, and wherein the aggregate output of the sensor array constitutes a high-dimensional pressure topology map representing the unique morphological signature of the seated operator;</w:t>
      </w:r>
    </w:p>
    <w:p>
      <w:pPr>
        <w:spacing w:after="200"/>
      </w:pPr>
    </w:p>
    <w:p>
      <w:pPr>
        <w:spacing w:after="80"/>
        <w:ind w:left="720"/>
      </w:pPr>
      <w:r>
        <w:rPr>
          <w:rFonts w:ascii="Arial" w:cs="Arial" w:eastAsia="Arial" w:hAnsi="Arial"/>
          <w:sz w:val="24"/>
          <w:szCs w:val="24"/>
        </w:rPr>
        <w:t xml:space="preserve">(b) during an initial enrollment phase, capturing a baseline pressure topology map for the authorized human operator and computing a compressed biometric template therefrom, wherein said template encodes the spatial distribution of pressure peaks, valleys, and gradients unique to the operator’s anatomical geometry, and storing said biometric template within the local configuration management database (CMDB) as the registered Omega Gate identity;</w:t>
      </w:r>
    </w:p>
    <w:p>
      <w:pPr>
        <w:spacing w:after="200"/>
      </w:pPr>
    </w:p>
    <w:p>
      <w:pPr>
        <w:spacing w:after="80"/>
        <w:ind w:left="720"/>
      </w:pPr>
      <w:r>
        <w:rPr>
          <w:rFonts w:ascii="Arial" w:cs="Arial" w:eastAsia="Arial" w:hAnsi="Arial"/>
          <w:sz w:val="24"/>
          <w:szCs w:val="24"/>
        </w:rPr>
        <w:t xml:space="preserve">(c) during operational use, continuously sampling the capacitive pressure-sensing surface to generate a real-time pressure topology map and executing a pattern-matching comparison between the real-time pressure topology map and the stored biometric template, wherein a match confidence score exceeding a predefined threshold constitutes the first authentication factor, and wherein said continuous sampling enables passive, non-interruptive re-verification of operator presence throughout the operational session without requiring explicit authentication gestures;</w:t>
      </w:r>
    </w:p>
    <w:p>
      <w:pPr>
        <w:spacing w:after="200"/>
      </w:pPr>
    </w:p>
    <w:p>
      <w:pPr>
        <w:spacing w:after="80"/>
        <w:ind w:left="720"/>
      </w:pPr>
      <w:r>
        <w:rPr>
          <w:rFonts w:ascii="Arial" w:cs="Arial" w:eastAsia="Arial" w:hAnsi="Arial"/>
          <w:sz w:val="24"/>
          <w:szCs w:val="24"/>
        </w:rPr>
        <w:t xml:space="preserve">(d) deploying at least one acoustic transducer in physical proximity to the capacitive pressure-sensing surface, wherein said acoustic transducer is operatively connected to the acoustic spectral analysis pipeline established in Claim 104 (ECHO Protocol), and wherein the transducer continuously monitors for a biologically-produced acoustic event originating from the authenticated operator;</w:t>
      </w:r>
    </w:p>
    <w:p>
      <w:pPr>
        <w:spacing w:after="200"/>
      </w:pPr>
    </w:p>
    <w:p>
      <w:pPr>
        <w:spacing w:after="80"/>
        <w:ind w:left="720"/>
      </w:pPr>
      <w:r>
        <w:rPr>
          <w:rFonts w:ascii="Arial" w:cs="Arial" w:eastAsia="Arial" w:hAnsi="Arial"/>
          <w:sz w:val="24"/>
          <w:szCs w:val="24"/>
        </w:rPr>
        <w:t xml:space="preserve">(e) upon detection of a candidate acoustic event, executing a Fast Fourier Transform (FFT) operation against the captured audio waveform to produce a spectral power density representation, and comparing said spectral representation against a stored acoustic biometric template specific to the enrolled operator, wherein the acoustic biometric template encodes spectral characteristics shaped by the operator’s unique biological anatomy including, but not limited to, resonant cavity geometry, sphincter aperture diameter, mucosal membrane tension, and gastrointestinal gas composition, and wherein a spectral match confidence score exceeding a predefined threshold constitutes the second authentication factor;</w:t>
      </w:r>
    </w:p>
    <w:p>
      <w:pPr>
        <w:spacing w:after="200"/>
      </w:pPr>
    </w:p>
    <w:p>
      <w:pPr>
        <w:spacing w:after="80"/>
        <w:ind w:left="720"/>
      </w:pPr>
      <w:r>
        <w:rPr>
          <w:rFonts w:ascii="Arial" w:cs="Arial" w:eastAsia="Arial" w:hAnsi="Arial"/>
          <w:sz w:val="24"/>
          <w:szCs w:val="24"/>
        </w:rPr>
        <w:t xml:space="preserve">(f) simultaneously with step (e), analyzing the real-time pressure topology map from the capacitive pressure-sensing surface for a temporally correlated micro-displacement event, wherein said micro-displacement event is characterized by a localized, transient perturbation in the pressure distribution pattern consistent with the physiological muscular contraction-and-release sequence associated with the biological production of the acoustic event, and wherein detection of said micro-displacement event within a predefined temporal correlation window of the acoustic event constitutes the third authentication factor;</w:t>
      </w:r>
    </w:p>
    <w:p>
      <w:pPr>
        <w:spacing w:after="200"/>
      </w:pPr>
    </w:p>
    <w:p>
      <w:pPr>
        <w:spacing w:after="80"/>
        <w:ind w:left="720"/>
      </w:pPr>
      <w:r>
        <w:rPr>
          <w:rFonts w:ascii="Arial" w:cs="Arial" w:eastAsia="Arial" w:hAnsi="Arial"/>
          <w:sz w:val="24"/>
          <w:szCs w:val="24"/>
        </w:rPr>
        <w:t xml:space="preserve">(g) computing a composite Omega Gate authentication score as a function of the convergence of all three authentication factors: (i) the continuous pressure topology biometric match, (ii) the acoustic spectral biometric match, and (iii) the temporal correlation between the pressure micro-displacement event and the acoustic event, wherein all three factors must independently exceed their respective predefined thresholds within a single temporal correlation window for the composite authentication to resolve to Ω = 1;</w:t>
      </w:r>
    </w:p>
    <w:p>
      <w:pPr>
        <w:spacing w:after="200"/>
      </w:pPr>
    </w:p>
    <w:p>
      <w:pPr>
        <w:spacing w:after="80"/>
        <w:ind w:left="720"/>
      </w:pPr>
      <w:r>
        <w:rPr>
          <w:rFonts w:ascii="Arial" w:cs="Arial" w:eastAsia="Arial" w:hAnsi="Arial"/>
          <w:sz w:val="24"/>
          <w:szCs w:val="24"/>
        </w:rPr>
        <w:t xml:space="preserve">(h) upon the composite Omega Gate authentication score resolving to Ω = 1, generating a signed authentication token encoding the timestamp, the composite score, and a cryptographic hash of the raw biometric data, and transmitting said token to the sovereign operating system’s central configuration management database (CMDB), thereby enabling all pending and subsequent state transitions, ledger commits, acoustic trigger responses, biological telemetry overrides, and mesh consensus operations governed by the Sovereign Knot equation;</w:t>
      </w:r>
    </w:p>
    <w:p>
      <w:pPr>
        <w:spacing w:after="200"/>
      </w:pPr>
    </w:p>
    <w:p>
      <w:pPr>
        <w:spacing w:after="80"/>
        <w:ind w:left="720"/>
      </w:pPr>
      <w:r>
        <w:rPr>
          <w:rFonts w:ascii="Arial" w:cs="Arial" w:eastAsia="Arial" w:hAnsi="Arial"/>
          <w:sz w:val="24"/>
          <w:szCs w:val="24"/>
        </w:rPr>
        <w:t xml:space="preserve">(i) enforcing a Domain Separation constraint, wherein the raw biometric data captured by the capacitive pressure-sensing surface and the acoustic transducer is processed exclusively on a physically isolated authentication coprocessor that is architecturally firewalled from the stateless ALU execution environment, and wherein no autonomous agent, LLM process, or software routine operating within the sovereign operating system has read or write access to the raw biometric data, the stored biometric templates, or the authentication coprocessor’s internal state, thereby guaranteeing that the Omega Gate authentication event cannot be replayed, simulated, or forged by any computational process governed by the system it authenticates; and</w:t>
      </w:r>
    </w:p>
    <w:p>
      <w:pPr>
        <w:spacing w:after="200"/>
      </w:pPr>
    </w:p>
    <w:p>
      <w:pPr>
        <w:spacing w:after="80"/>
        <w:ind w:left="720"/>
      </w:pPr>
      <w:r>
        <w:rPr>
          <w:rFonts w:ascii="Arial" w:cs="Arial" w:eastAsia="Arial" w:hAnsi="Arial"/>
          <w:sz w:val="24"/>
          <w:szCs w:val="24"/>
        </w:rPr>
        <w:t xml:space="preserve">(j) committing the Omega Gate authentication event—including the composite score, the authentication factors satisfied, and the timestamp—to the immutable artifact ledger (A) as a cryptographically signed, content-addressed ledger entry, while explicitly excluding the raw biometric data from the ledger to preserve operator privacy, thereby satisfying the Audit variable of the Sovereign Knot equation and establishing a verifiable chain of human presence authentication across all system operations.</w:t>
      </w:r>
    </w:p>
    <w:p>
      <w:pPr>
        <w:pBdr>
          <w:bottom w:val="single" w:color="2E75B6" w:sz="6" w:space="1"/>
        </w:pBdr>
        <w:spacing w:after="200" w:before="200"/>
      </w:pPr>
    </w:p>
    <w:p>
      <w:pPr>
        <w:pStyle w:val="Heading1"/>
        <w:spacing w:after="240" w:before="360"/>
      </w:pPr>
      <w:r>
        <w:rPr>
          <w:rFonts w:ascii="Arial" w:cs="Arial" w:eastAsia="Arial" w:hAnsi="Arial"/>
          <w:b/>
          <w:bCs/>
          <w:sz w:val="36"/>
          <w:szCs w:val="36"/>
        </w:rPr>
        <w:t xml:space="preserve">RATIONALE: WHY BIOPHYSICAL AUTHENTICATION IS COMPUTATIONALLY UNFORGEABLE</w:t>
      </w:r>
    </w:p>
    <w:p>
      <w:pPr>
        <w:spacing w:after="120"/>
      </w:pPr>
      <w:r>
        <w:rPr>
          <w:rFonts w:ascii="Arial" w:cs="Arial" w:eastAsia="Arial" w:hAnsi="Arial"/>
          <w:sz w:val="24"/>
          <w:szCs w:val="24"/>
        </w:rPr>
        <w:t xml:space="preserve">The multimodal biophysical Omega Gate described in Claim 107 achieves a security property that no purely digital authentication mechanism can guarantee: the authentication event requires the physical laws of thermodynamics, fluid dynamics, and acoustic wave propagation to produce, and therefore cannot be generated by any Turing-complete computational process regardless of its capability.</w:t>
      </w:r>
    </w:p>
    <w:p>
      <w:pPr>
        <w:spacing w:after="200"/>
      </w:pPr>
    </w:p>
    <w:p>
      <w:pPr>
        <w:spacing w:after="120"/>
      </w:pPr>
      <w:r>
        <w:rPr>
          <w:rFonts w:ascii="Arial" w:cs="Arial" w:eastAsia="Arial" w:hAnsi="Arial"/>
          <w:sz w:val="24"/>
          <w:szCs w:val="24"/>
        </w:rPr>
        <w:t xml:space="preserve">Specifically:</w:t>
      </w:r>
    </w:p>
    <w:p>
      <w:pPr>
        <w:spacing w:after="200"/>
      </w:pPr>
    </w:p>
    <w:p>
      <w:pPr>
        <w:spacing w:after="120"/>
      </w:pPr>
      <w:r>
        <w:rPr>
          <w:rFonts w:ascii="Arial" w:cs="Arial" w:eastAsia="Arial" w:hAnsi="Arial"/>
          <w:sz w:val="24"/>
          <w:szCs w:val="24"/>
        </w:rPr>
        <w:t xml:space="preserve">The capacitive pressure topology requires a three-dimensional physical body subject to gravity, possessing unique skeletal geometry, soft tissue distribution, and mass. No software process has mass.</w:t>
      </w:r>
    </w:p>
    <w:p>
      <w:pPr>
        <w:spacing w:after="200"/>
      </w:pPr>
    </w:p>
    <w:p>
      <w:pPr>
        <w:spacing w:after="120"/>
      </w:pPr>
      <w:r>
        <w:rPr>
          <w:rFonts w:ascii="Arial" w:cs="Arial" w:eastAsia="Arial" w:hAnsi="Arial"/>
          <w:sz w:val="24"/>
          <w:szCs w:val="24"/>
        </w:rPr>
        <w:t xml:space="preserve">The acoustic spectral signature requires the biological production of a gaseous emission shaped by unique anatomical structures—resonant cavity length, aperture geometry, membrane elasticity, and gas mixture composition. These properties are governed by the operator’s diet, gut microbiome, and real-time physiological state, introducing a non-deterministic biological variable that cannot be predicted or pre-computed.</w:t>
      </w:r>
    </w:p>
    <w:p>
      <w:pPr>
        <w:spacing w:after="200"/>
      </w:pPr>
    </w:p>
    <w:p>
      <w:pPr>
        <w:spacing w:after="120"/>
      </w:pPr>
      <w:r>
        <w:rPr>
          <w:rFonts w:ascii="Arial" w:cs="Arial" w:eastAsia="Arial" w:hAnsi="Arial"/>
          <w:sz w:val="24"/>
          <w:szCs w:val="24"/>
        </w:rPr>
        <w:t xml:space="preserve">The temporal correlation between the pressure micro-displacement and the acoustic event requires simultaneous causally-linked physical phenomena occurring in meatspace within milliseconds of each other. No network-transmitted replay can satisfy this constraint because the pressure sensor and the acoustic transducer are co-located and time-synchronized at the hardware level.</w:t>
      </w:r>
    </w:p>
    <w:p>
      <w:pPr>
        <w:spacing w:after="200"/>
      </w:pPr>
    </w:p>
    <w:p>
      <w:pPr>
        <w:spacing w:after="120"/>
      </w:pPr>
      <w:r>
        <w:rPr>
          <w:rFonts w:ascii="Arial" w:cs="Arial" w:eastAsia="Arial" w:hAnsi="Arial"/>
          <w:sz w:val="24"/>
          <w:szCs w:val="24"/>
        </w:rPr>
        <w:t xml:space="preserve">The Domain Separation architecture ensures that even if an autonomous agent achieved arbitrary code execution within the sovereign operating system, it would have no pathway to the authentication coprocessor’s inputs, outputs, or stored templates. The gate exists outside the system it governs.</w:t>
      </w:r>
    </w:p>
    <w:p>
      <w:pPr>
        <w:pBdr>
          <w:bottom w:val="single" w:color="2E75B6" w:sz="6" w:space="1"/>
        </w:pBdr>
        <w:spacing w:after="200" w:before="200"/>
      </w:pPr>
    </w:p>
    <w:p>
      <w:pPr>
        <w:pStyle w:val="Heading1"/>
        <w:spacing w:after="240" w:before="360"/>
      </w:pPr>
      <w:r>
        <w:rPr>
          <w:rFonts w:ascii="Arial" w:cs="Arial" w:eastAsia="Arial" w:hAnsi="Arial"/>
          <w:b/>
          <w:bCs/>
          <w:sz w:val="36"/>
          <w:szCs w:val="36"/>
        </w:rPr>
        <w:t xml:space="preserve">SOVEREIGN KNOT: COMPLETE CLAIM MAP</w:t>
      </w:r>
    </w:p>
    <w:p>
      <w:pPr>
        <w:spacing w:after="120"/>
      </w:pPr>
      <w:r>
        <w:rPr>
          <w:rFonts w:ascii="Arial" w:cs="Arial" w:eastAsia="Arial" w:hAnsi="Arial"/>
          <w:sz w:val="24"/>
          <w:szCs w:val="24"/>
        </w:rPr>
        <w:t xml:space="preserve">Claims 101–103: Digital governance layer (Okerlund Protocol). LLM-as-a-Judge, Quarantine Sandbox, Autonomous Release.</w:t>
      </w:r>
    </w:p>
    <w:p>
      <w:pPr>
        <w:spacing w:after="120"/>
      </w:pPr>
      <w:r>
        <w:rPr>
          <w:rFonts w:ascii="Arial" w:cs="Arial" w:eastAsia="Arial" w:hAnsi="Arial"/>
          <w:sz w:val="24"/>
          <w:szCs w:val="24"/>
        </w:rPr>
        <w:t xml:space="preserve">Claim 104: Physical telemetry layer (ECHO Protocol). Edge-computed acoustic event detection. Satisfies T.</w:t>
      </w:r>
    </w:p>
    <w:p>
      <w:pPr>
        <w:spacing w:after="120"/>
      </w:pPr>
      <w:r>
        <w:rPr>
          <w:rFonts w:ascii="Arial" w:cs="Arial" w:eastAsia="Arial" w:hAnsi="Arial"/>
          <w:sz w:val="24"/>
          <w:szCs w:val="24"/>
        </w:rPr>
        <w:t xml:space="preserve">Claim 105: Biological telemetry layer (Bio-Oracle Array). Non-human behavioral state machines modifying LLM inference. Satisfies T.</w:t>
      </w:r>
    </w:p>
    <w:p>
      <w:pPr>
        <w:spacing w:after="120"/>
      </w:pPr>
      <w:r>
        <w:rPr>
          <w:rFonts w:ascii="Arial" w:cs="Arial" w:eastAsia="Arial" w:hAnsi="Arial"/>
          <w:sz w:val="24"/>
          <w:szCs w:val="24"/>
        </w:rPr>
        <w:t xml:space="preserve">Claim 106: Decentralized continuity layer (Byzantine Mesh). P2P ledger consensus for high-latency environments. Satisfies C and A.</w:t>
      </w:r>
    </w:p>
    <w:p>
      <w:pPr>
        <w:spacing w:after="120"/>
      </w:pPr>
      <w:r>
        <w:rPr>
          <w:rFonts w:ascii="Arial" w:cs="Arial" w:eastAsia="Arial" w:hAnsi="Arial"/>
          <w:sz w:val="24"/>
          <w:szCs w:val="24"/>
        </w:rPr>
        <w:t xml:space="preserve">Claim 107: Biophysical authentication layer (Multimodal Omega Gate). Physically unforgeable human presence verification. Satisfies Ω.</w:t>
      </w:r>
    </w:p>
    <w:p>
      <w:pPr>
        <w:spacing w:after="200"/>
      </w:pPr>
    </w:p>
    <w:p>
      <w:pPr>
        <w:spacing w:after="120"/>
      </w:pPr>
      <w:r>
        <w:rPr>
          <w:rFonts w:ascii="Arial" w:cs="Arial" w:eastAsia="Arial" w:hAnsi="Arial"/>
          <w:sz w:val="24"/>
          <w:szCs w:val="24"/>
        </w:rPr>
        <w:t xml:space="preserve">With Claim 107, every variable in the Sovereign Knot equation S = (A × Pw × T × C) × Ω is now protected by at least one independent claim. The system is mathematically, digitally, physically, biologically, and biophysically sovereign.</w:t>
      </w:r>
    </w:p>
    <w:p>
      <w:pPr>
        <w:spacing w:after="200"/>
      </w:pPr>
    </w:p>
    <w:p>
      <w:pPr>
        <w:spacing w:after="120"/>
      </w:pPr>
      <w:r>
        <w:rPr>
          <w:rFonts w:ascii="Arial" w:cs="Arial" w:eastAsia="Arial" w:hAnsi="Arial"/>
          <w:sz w:val="24"/>
          <w:szCs w:val="24"/>
        </w:rPr>
        <w:t xml:space="preserve">The human is the key. The key requires a body. The body cannot be computed.</w:t>
      </w:r>
    </w:p>
    <w:p>
      <w:pPr>
        <w:pBdr>
          <w:bottom w:val="single" w:color="2E75B6" w:sz="6" w:space="1"/>
        </w:pBdr>
        <w:spacing w:after="200" w:before="200"/>
      </w:pPr>
    </w:p>
    <w:p>
      <w:pPr>
        <w:spacing w:after="120"/>
        <w:jc w:val="center"/>
      </w:pPr>
      <w:r>
        <w:rPr>
          <w:rFonts w:ascii="Arial" w:cs="Arial" w:eastAsia="Arial" w:hAnsi="Arial"/>
          <w:sz w:val="24"/>
          <w:szCs w:val="24"/>
        </w:rPr>
        <w:t xml:space="preserve">END OF AMENDMENT.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2026-04-11T07:21:42.550Z</dcterms:created>
  <dcterms:modified xsi:type="dcterms:W3CDTF">2026-04-11T07:21:42.550Z</dcterms:modified>
</cp:coreProperties>
</file>

<file path=docProps/custom.xml><?xml version="1.0" encoding="utf-8"?>
<Properties xmlns="http://schemas.openxmlformats.org/officeDocument/2006/custom-properties" xmlns:vt="http://schemas.openxmlformats.org/officeDocument/2006/docPropsVTypes"/>
</file>