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StackOps — présentation de la société</w:t>
      </w:r>
    </w:p>
    <w:p>
      <w:pPr>
        <w:pStyle w:val="Author"/>
      </w:pPr>
      <w:r>
        <w:t xml:space="preserve">StackOps</w:t>
      </w:r>
    </w:p>
    <w:bookmarkStart w:id="15" w:name="stackops"/>
    <w:p>
      <w:pPr>
        <w:pStyle w:val="Heading1"/>
      </w:pPr>
      <w:r>
        <w:t xml:space="preserve">StackOps</w:t>
      </w:r>
    </w:p>
    <w:p>
      <w:pPr>
        <w:pStyle w:val="FirstParagraph"/>
      </w:pPr>
      <w:r>
        <w:rPr>
          <w:b/>
          <w:bCs/>
        </w:rPr>
        <w:t xml:space="preserve">Entreprise individuelle de Kevin Allioli</w:t>
      </w:r>
      <w:r>
        <w:t xml:space="preserve"> </w:t>
      </w:r>
      <w:r>
        <w:t xml:space="preserve">Siège : Saint-Julien-en-Genevois (Haute-Savoie), France</w:t>
      </w:r>
      <w:r>
        <w:t xml:space="preserve"> </w:t>
      </w:r>
      <w:r>
        <w:t xml:space="preserve">Contact :</w:t>
      </w:r>
      <w:r>
        <w:t xml:space="preserve"> </w:t>
      </w:r>
      <w:r>
        <w:rPr>
          <w:rStyle w:val="VerbatimChar"/>
        </w:rPr>
        <w:t xml:space="preserve">contact@stackops.ch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https://stackops.ch</w:t>
      </w:r>
    </w:p>
    <w:bookmarkStart w:id="9" w:name="ce-que-fait-lentreprise"/>
    <w:p>
      <w:pPr>
        <w:pStyle w:val="Heading2"/>
      </w:pPr>
      <w:r>
        <w:t xml:space="preserve">Ce que fait l’entreprise</w:t>
      </w:r>
    </w:p>
    <w:p>
      <w:pPr>
        <w:pStyle w:val="FirstParagraph"/>
      </w:pPr>
      <w:r>
        <w:t xml:space="preserve">StackOps conçoit et exploite des infrastructures informatiques pour des équipes techniques :</w:t>
      </w:r>
      <w:r>
        <w:t xml:space="preserve"> </w:t>
      </w:r>
      <w:r>
        <w:t xml:space="preserve">automatisation, migration vers le cloud, architectures sur site et hybrides, conseil.</w:t>
      </w:r>
    </w:p>
    <w:p>
      <w:pPr>
        <w:pStyle w:val="BodyText"/>
      </w:pPr>
      <w:r>
        <w:t xml:space="preserve">Son approche tient en trois mots —</w:t>
      </w:r>
      <w:r>
        <w:t xml:space="preserve"> </w:t>
      </w:r>
      <w:r>
        <w:rPr>
          <w:b/>
          <w:bCs/>
        </w:rPr>
        <w:t xml:space="preserve">comprendre, construire, transmettre</w:t>
      </w:r>
      <w:r>
        <w:t xml:space="preserve"> </w:t>
      </w:r>
      <w:r>
        <w:t xml:space="preserve">— et son critère</w:t>
      </w:r>
      <w:r>
        <w:t xml:space="preserve"> </w:t>
      </w:r>
      <w:r>
        <w:t xml:space="preserve">de réussite est l’autonomie du client à la fin de la mission. C’est une structure compacte,</w:t>
      </w:r>
      <w:r>
        <w:t xml:space="preserve"> </w:t>
      </w:r>
      <w:r>
        <w:t xml:space="preserve">sans intermédiaire entre celui qui décide et celui qui fait.</w:t>
      </w:r>
    </w:p>
    <w:bookmarkEnd w:id="9"/>
    <w:bookmarkStart w:id="10" w:name="branches-dactivité"/>
    <w:p>
      <w:pPr>
        <w:pStyle w:val="Heading2"/>
      </w:pPr>
      <w:r>
        <w:t xml:space="preserve">Branches d’activité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Activité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Automatisation DevOps</w:t>
            </w:r>
          </w:p>
        </w:tc>
        <w:tc>
          <w:tcPr/>
          <w:p>
            <w:pPr>
              <w:pStyle w:val="Compact"/>
            </w:pPr>
            <w:r>
              <w:t xml:space="preserve">chaînes d’intégration et de livraison continues, infrastructure décrite en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vers le cloud</w:t>
            </w:r>
          </w:p>
        </w:tc>
        <w:tc>
          <w:tcPr/>
          <w:p>
            <w:pPr>
              <w:pStyle w:val="Compact"/>
            </w:pPr>
            <w:r>
              <w:t xml:space="preserve">stratégie, audit, modernisation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sur site et hybride</w:t>
            </w:r>
          </w:p>
        </w:tc>
        <w:tc>
          <w:tcPr/>
          <w:p>
            <w:pPr>
              <w:pStyle w:val="Compact"/>
            </w:pPr>
            <w:r>
              <w:t xml:space="preserve">virtualisation, réseau, haute disponibilité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Conseil</w:t>
            </w:r>
          </w:p>
        </w:tc>
        <w:tc>
          <w:tcPr/>
          <w:p>
            <w:pPr>
              <w:pStyle w:val="Compact"/>
            </w:pPr>
            <w:r>
              <w:t xml:space="preserve">audit technique, transfert de compétences, intégration d’outils d’intelligence artificielle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 internet</w:t>
            </w:r>
          </w:p>
        </w:tc>
        <w:tc>
          <w:tcPr/>
          <w:p>
            <w:pPr>
              <w:pStyle w:val="Compact"/>
            </w:pPr>
            <w:r>
              <w:t xml:space="preserve">conception et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Hébergement infogéré</w:t>
            </w:r>
          </w:p>
        </w:tc>
        <w:tc>
          <w:tcPr/>
          <w:p>
            <w:pPr>
              <w:pStyle w:val="Compact"/>
            </w:pPr>
            <w:r>
              <w:t xml:space="preserve">machines virtuelles en Europe, supervision comprise</w:t>
            </w:r>
          </w:p>
        </w:tc>
      </w:tr>
    </w:tbl>
    <w:bookmarkEnd w:id="10"/>
    <w:bookmarkStart w:id="11" w:name="marché-visé-et-zone-dintervention"/>
    <w:p>
      <w:pPr>
        <w:pStyle w:val="Heading2"/>
      </w:pPr>
      <w:r>
        <w:t xml:space="preserve">Marché visé et zone d’intervention</w:t>
      </w:r>
    </w:p>
    <w:p>
      <w:pPr>
        <w:pStyle w:val="FirstParagraph"/>
      </w:pPr>
      <w:r>
        <w:t xml:space="preserve">Petites et moyennes structures, équipes techniques en transformation. Intervention sur</w:t>
      </w:r>
      <w:r>
        <w:t xml:space="preserve"> </w:t>
      </w:r>
      <w:r>
        <w:t xml:space="preserve">site en Suisse romande et en Haute-Savoie, à distance dans le reste de l’Europe.</w:t>
      </w:r>
    </w:p>
    <w:bookmarkEnd w:id="11"/>
    <w:bookmarkStart w:id="12" w:name="organisation"/>
    <w:p>
      <w:pPr>
        <w:pStyle w:val="Heading2"/>
      </w:pPr>
      <w:r>
        <w:t xml:space="preserve">Organisation</w:t>
      </w:r>
    </w:p>
    <w:p>
      <w:pPr>
        <w:pStyle w:val="FirstParagraph"/>
      </w:pPr>
      <w:r>
        <w:t xml:space="preserve">Deux personnes :</w:t>
      </w:r>
      <w:r>
        <w:t xml:space="preserve"> </w:t>
      </w:r>
      <w:r>
        <w:rPr>
          <w:b/>
          <w:bCs/>
        </w:rPr>
        <w:t xml:space="preserve">Kevin Allioli</w:t>
      </w:r>
      <w:r>
        <w:t xml:space="preserve">, architecte cloud et exploitant de l’entreprise, et</w:t>
      </w:r>
      <w:r>
        <w:t xml:space="preserve"> </w:t>
      </w:r>
      <w:r>
        <w:rPr>
          <w:b/>
          <w:bCs/>
        </w:rPr>
        <w:t xml:space="preserve">Clara Vanacker</w:t>
      </w:r>
      <w:r>
        <w:t xml:space="preserve">, ingénieure logiciel. Pas de sous-traitance de la production.</w:t>
      </w:r>
    </w:p>
    <w:bookmarkEnd w:id="12"/>
    <w:bookmarkStart w:id="13" w:name="les-produits-édités"/>
    <w:p>
      <w:pPr>
        <w:pStyle w:val="Heading2"/>
      </w:pPr>
      <w:r>
        <w:t xml:space="preserve">Les produits édités</w:t>
      </w:r>
    </w:p>
    <w:p>
      <w:pPr>
        <w:pStyle w:val="FirstParagraph"/>
      </w:pPr>
      <w:r>
        <w:t xml:space="preserve">Outre ses prestations, StackOps édite une suite d’outils dont le chiffrement se fait sur</w:t>
      </w:r>
      <w:r>
        <w:t xml:space="preserve"> </w:t>
      </w:r>
      <w:r>
        <w:t xml:space="preserve">l’appareil de l’utilisateur, la</w:t>
      </w:r>
      <w:r>
        <w:t xml:space="preserve"> </w:t>
      </w:r>
      <w:r>
        <w:rPr>
          <w:b/>
          <w:bCs/>
        </w:rPr>
        <w:t xml:space="preserve">Ghost Suite</w:t>
      </w:r>
      <w:r>
        <w:t xml:space="preserve">. Ils sont auto-hébergeables : l’éditeur</w:t>
      </w:r>
      <w:r>
        <w:t xml:space="preserve"> </w:t>
      </w:r>
      <w:r>
        <w:t xml:space="preserve">n’est jamais un passage obligé.</w:t>
      </w:r>
    </w:p>
    <w:p>
      <w:pPr>
        <w:pStyle w:val="BodyText"/>
      </w:pPr>
      <w:r>
        <w:rPr>
          <w:b/>
          <w:bCs/>
        </w:rPr>
        <w:t xml:space="preserve">GhostPass</w:t>
      </w:r>
      <w:r>
        <w:t xml:space="preserve"> </w:t>
      </w:r>
      <w:r>
        <w:t xml:space="preserve">— gestionnaire de mots de passe à connaissance nulle, objet du présent</w:t>
      </w:r>
      <w:r>
        <w:t xml:space="preserve"> </w:t>
      </w:r>
      <w:r>
        <w:t xml:space="preserve">dossier. Applications iOS et Android, application web, serveur auto-hébergeable. Licence</w:t>
      </w:r>
      <w:r>
        <w:t xml:space="preserve"> </w:t>
      </w:r>
      <w:r>
        <w:t xml:space="preserve">Elastic License 2.0.</w:t>
      </w:r>
    </w:p>
    <w:p>
      <w:pPr>
        <w:pStyle w:val="BodyText"/>
      </w:pPr>
      <w:r>
        <w:rPr>
          <w:b/>
          <w:bCs/>
        </w:rPr>
        <w:t xml:space="preserve">GhostBit</w:t>
      </w:r>
      <w:r>
        <w:t xml:space="preserve"> </w:t>
      </w:r>
      <w:r>
        <w:t xml:space="preserve">— partage de secrets à usage unique, chiffré sur l’appareil, auto-hébergeable.</w:t>
      </w:r>
    </w:p>
    <w:p>
      <w:pPr>
        <w:pStyle w:val="BodyText"/>
      </w:pPr>
      <w:r>
        <w:rPr>
          <w:b/>
          <w:bCs/>
        </w:rPr>
        <w:t xml:space="preserve">GhostCal</w:t>
      </w:r>
      <w:r>
        <w:t xml:space="preserve"> </w:t>
      </w:r>
      <w:r>
        <w:t xml:space="preserve">— agenda et prise de rendez-vous.</w:t>
      </w:r>
    </w:p>
    <w:p>
      <w:pPr>
        <w:pStyle w:val="BodyText"/>
      </w:pPr>
      <w:r>
        <w:t xml:space="preserve">Le serveur de GhostPass et le chiffrement de son client web sont</w:t>
      </w:r>
      <w:r>
        <w:t xml:space="preserve"> </w:t>
      </w:r>
      <w:r>
        <w:rPr>
          <w:b/>
          <w:bCs/>
        </w:rPr>
        <w:t xml:space="preserve">publiés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https://github.com/stackopshq/ghostpass</w:t>
      </w:r>
      <w:r>
        <w:t xml:space="preserve">. Un utilisateur peut donc vérifier lui-même que</w:t>
      </w:r>
      <w:r>
        <w:t xml:space="preserve"> </w:t>
      </w:r>
      <w:r>
        <w:t xml:space="preserve">le serveur ne détient rien qui permette d’ouvrir un coffre — ce qui est la seule façon</w:t>
      </w:r>
      <w:r>
        <w:t xml:space="preserve"> </w:t>
      </w:r>
      <w:r>
        <w:t xml:space="preserve">sérieuse de tenir une promesse de connaissance nulle.</w:t>
      </w:r>
    </w:p>
    <w:bookmarkEnd w:id="13"/>
    <w:bookmarkStart w:id="14" w:name="Xfabba37616165103999e149b4306630700ec5c2"/>
    <w:p>
      <w:pPr>
        <w:pStyle w:val="Heading2"/>
      </w:pPr>
      <w:r>
        <w:t xml:space="preserve">Positionnement sur la protection des données</w:t>
      </w:r>
    </w:p>
    <w:p>
      <w:pPr>
        <w:pStyle w:val="FirstParagraph"/>
      </w:pPr>
      <w:r>
        <w:t xml:space="preserve">Les produits de la Ghost Suite sont construits pour que l’éditeur</w:t>
      </w:r>
      <w:r>
        <w:t xml:space="preserve"> </w:t>
      </w:r>
      <w:r>
        <w:rPr>
          <w:b/>
          <w:bCs/>
        </w:rPr>
        <w:t xml:space="preserve">ne puisse pas</w:t>
      </w:r>
      <w:r>
        <w:t xml:space="preserve"> </w:t>
      </w:r>
      <w:r>
        <w:t xml:space="preserve">lire ce</w:t>
      </w:r>
      <w:r>
        <w:t xml:space="preserve"> </w:t>
      </w:r>
      <w:r>
        <w:t xml:space="preserve">que ses utilisateurs y mettent, plutôt que pour qu’il s’engage à ne pas le faire. La</w:t>
      </w:r>
      <w:r>
        <w:t xml:space="preserve"> </w:t>
      </w:r>
      <w:r>
        <w:t xml:space="preserve">politique de confidentialité publiée distingue d’ailleurs, produit par produit, ce que</w:t>
      </w:r>
      <w:r>
        <w:t xml:space="preserve"> </w:t>
      </w:r>
      <w:r>
        <w:t xml:space="preserve">chacun voit et ne voit pas — y compris lorsque la réponse est moins flatteuse, comme pour</w:t>
      </w:r>
      <w:r>
        <w:t xml:space="preserve"> </w:t>
      </w:r>
      <w:r>
        <w:t xml:space="preserve">l’agenda, qui doit lire les rendez-vous pour les organiser.</w:t>
      </w:r>
    </w:p>
    <w:p>
      <w:pPr>
        <w:pStyle w:val="BodyText"/>
      </w:pPr>
      <w:r>
        <w:rPr>
          <w:rStyle w:val="VerbatimChar"/>
        </w:rPr>
        <w:t xml:space="preserve">https://ghostsuite.cloud/confidentialite/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StackOps — présentation de la société</dc:title>
  <dc:creator>StackOps</dc:creator>
  <cp:keywords/>
  <dcterms:created xsi:type="dcterms:W3CDTF">2026-09-24T21:47:53Z</dcterms:created>
  <dcterms:modified xsi:type="dcterms:W3CDTF">2026-09-24T21:47:53Z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