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GhostPass — présentation du produit</w:t>
      </w:r>
    </w:p>
    <w:p>
      <w:pPr>
        <w:pStyle w:val="Author"/>
      </w:pPr>
      <w:r>
        <w:t xml:space="preserve">StackOps</w:t>
      </w:r>
    </w:p>
    <w:bookmarkStart w:id="14" w:name="ghostpass"/>
    <w:p>
      <w:pPr>
        <w:pStyle w:val="Heading1"/>
      </w:pPr>
      <w:r>
        <w:t xml:space="preserve">GhostPass</w:t>
      </w:r>
    </w:p>
    <w:p>
      <w:pPr>
        <w:pStyle w:val="FirstParagraph"/>
      </w:pPr>
      <w:r>
        <w:rPr>
          <w:b/>
          <w:bCs/>
        </w:rPr>
        <w:t xml:space="preserve">Un gestionnaire de mots de passe dont le serveur ne peut pas lire vos mots de passe.</w:t>
      </w:r>
    </w:p>
    <w:p>
      <w:pPr>
        <w:pStyle w:val="BodyText"/>
      </w:pPr>
      <w:r>
        <w:t xml:space="preserve">GhostPass conserve identifiants de connexion, notes et cartes bancaires dans un coffre</w:t>
      </w:r>
      <w:r>
        <w:t xml:space="preserve"> </w:t>
      </w:r>
      <w:r>
        <w:t xml:space="preserve">chiffré, accessible depuis un iPhone, un iPad, un téléphone Android ou un navigateur, et</w:t>
      </w:r>
      <w:r>
        <w:t xml:space="preserve"> </w:t>
      </w:r>
      <w:r>
        <w:t xml:space="preserve">synchronisé entre les appareils de son utilisateur.</w:t>
      </w:r>
    </w:p>
    <w:p>
      <w:pPr>
        <w:pStyle w:val="BodyText"/>
      </w:pPr>
      <w:r>
        <w:t xml:space="preserve">Il est édité par</w:t>
      </w:r>
      <w:r>
        <w:t xml:space="preserve"> </w:t>
      </w:r>
      <w:r>
        <w:rPr>
          <w:b/>
          <w:bCs/>
        </w:rPr>
        <w:t xml:space="preserve">StackOps</w:t>
      </w:r>
      <w:r>
        <w:t xml:space="preserve">, entreprise individuelle de Kevin Allioli, à</w:t>
      </w:r>
      <w:r>
        <w:t xml:space="preserve"> </w:t>
      </w:r>
      <w:r>
        <w:t xml:space="preserve">Saint-Julien-en-Genevois (Haute-Savoie, France).</w:t>
      </w:r>
    </w:p>
    <w:bookmarkStart w:id="9" w:name="à-qui-il-sadresse"/>
    <w:p>
      <w:pPr>
        <w:pStyle w:val="Heading2"/>
      </w:pPr>
      <w:r>
        <w:t xml:space="preserve">À qui il s’adresse</w:t>
      </w:r>
    </w:p>
    <w:p>
      <w:pPr>
        <w:pStyle w:val="FirstParagraph"/>
      </w:pPr>
      <w:r>
        <w:t xml:space="preserve">Aux particuliers et aux petites organisations qui veulent garder leurs secrets sans</w:t>
      </w:r>
      <w:r>
        <w:t xml:space="preserve"> </w:t>
      </w:r>
      <w:r>
        <w:t xml:space="preserve">confier leur contenu à un tiers — y compris à l’éditeur du produit.</w:t>
      </w:r>
    </w:p>
    <w:p>
      <w:pPr>
        <w:pStyle w:val="BodyText"/>
      </w:pPr>
      <w:r>
        <w:t xml:space="preserve">Le logiciel serveur est également mis à disposition de ceux qui préfèrent l’héberger</w:t>
      </w:r>
      <w:r>
        <w:t xml:space="preserve"> </w:t>
      </w:r>
      <w:r>
        <w:t xml:space="preserve">eux-mêmes, sur leur propre matériel.</w:t>
      </w:r>
    </w:p>
    <w:bookmarkEnd w:id="9"/>
    <w:bookmarkStart w:id="10" w:name="ce-que-le-produit-fait"/>
    <w:p>
      <w:pPr>
        <w:pStyle w:val="Heading2"/>
      </w:pPr>
      <w:r>
        <w:t xml:space="preserve">Ce que le produit fait</w:t>
      </w:r>
    </w:p>
    <w:p>
      <w:pPr>
        <w:pStyle w:val="FirstParagraph"/>
      </w:pPr>
      <w:r>
        <w:rPr>
          <w:b/>
          <w:bCs/>
        </w:rPr>
        <w:t xml:space="preserve">Un coffre chiffré sur l’appareil.</w:t>
      </w:r>
      <w:r>
        <w:t xml:space="preserve"> </w:t>
      </w:r>
      <w:r>
        <w:t xml:space="preserve">Le chiffrement et le déchiffrement ont lieu</w:t>
      </w:r>
      <w:r>
        <w:t xml:space="preserve"> </w:t>
      </w:r>
      <w:r>
        <w:t xml:space="preserve">localement. Le serveur héberge des données qu’il ne sait pas lire.</w:t>
      </w:r>
    </w:p>
    <w:p>
      <w:pPr>
        <w:pStyle w:val="BodyText"/>
      </w:pPr>
      <w:r>
        <w:rPr>
          <w:b/>
          <w:bCs/>
        </w:rPr>
        <w:t xml:space="preserve">Le remplissage automatique des identifiants.</w:t>
      </w:r>
      <w:r>
        <w:t xml:space="preserve"> </w:t>
      </w:r>
      <w:r>
        <w:t xml:space="preserve">Depuis le clavier, dans le navigateur</w:t>
      </w:r>
      <w:r>
        <w:t xml:space="preserve"> </w:t>
      </w:r>
      <w:r>
        <w:t xml:space="preserve">comme dans les applications. Les codes à usage unique sont calculés sur l’appareil et</w:t>
      </w:r>
      <w:r>
        <w:t xml:space="preserve"> </w:t>
      </w:r>
      <w:r>
        <w:t xml:space="preserve">proposés au bon champ.</w:t>
      </w:r>
    </w:p>
    <w:p>
      <w:pPr>
        <w:pStyle w:val="BodyText"/>
      </w:pPr>
      <w:r>
        <w:rPr>
          <w:b/>
          <w:bCs/>
        </w:rPr>
        <w:t xml:space="preserve">La santé du coffre.</w:t>
      </w:r>
      <w:r>
        <w:t xml:space="preserve"> </w:t>
      </w:r>
      <w:r>
        <w:t xml:space="preserve">Le coffre se relit pour signaler les mots de passe trop courts,</w:t>
      </w:r>
      <w:r>
        <w:t xml:space="preserve"> </w:t>
      </w:r>
      <w:r>
        <w:t xml:space="preserve">réutilisés ou dépourvus de second facteur. La vérification des fuites connues n’envoie</w:t>
      </w:r>
      <w:r>
        <w:t xml:space="preserve"> </w:t>
      </w:r>
      <w:r>
        <w:t xml:space="preserve">jamais le mot de passe : seuls les cinq premiers caractères de son empreinte partent, et</w:t>
      </w:r>
      <w:r>
        <w:t xml:space="preserve"> </w:t>
      </w:r>
      <w:r>
        <w:t xml:space="preserve">la comparaison se fait sur l’appareil.</w:t>
      </w:r>
    </w:p>
    <w:p>
      <w:pPr>
        <w:pStyle w:val="BodyText"/>
      </w:pPr>
      <w:r>
        <w:rPr>
          <w:b/>
          <w:bCs/>
        </w:rPr>
        <w:t xml:space="preserve">Le partage ponctuel d’un secret.</w:t>
      </w:r>
      <w:r>
        <w:t xml:space="preserve"> </w:t>
      </w:r>
      <w:r>
        <w:t xml:space="preserve">Un lien qui expire à la date choisie, ou après le</w:t>
      </w:r>
      <w:r>
        <w:t xml:space="preserve"> </w:t>
      </w:r>
      <w:r>
        <w:t xml:space="preserve">nombre de consultations choisi. La clé de déchiffrement voyage dans le fragment de</w:t>
      </w:r>
      <w:r>
        <w:t xml:space="preserve"> </w:t>
      </w:r>
      <w:r>
        <w:t xml:space="preserve">l’adresse — la partie après le dièse, que les navigateurs n’envoient jamais au serveur.</w:t>
      </w:r>
    </w:p>
    <w:p>
      <w:pPr>
        <w:pStyle w:val="BodyText"/>
      </w:pPr>
      <w:r>
        <w:rPr>
          <w:b/>
          <w:bCs/>
        </w:rPr>
        <w:t xml:space="preserve">Les coffres d’équipe.</w:t>
      </w:r>
      <w:r>
        <w:t xml:space="preserve"> </w:t>
      </w:r>
      <w:r>
        <w:t xml:space="preserve">Des collections partagées entre membres d’une organisation, avec</w:t>
      </w:r>
      <w:r>
        <w:t xml:space="preserve"> </w:t>
      </w:r>
      <w:r>
        <w:t xml:space="preserve">la possibilité de voir qui a accès à quoi et de le reprendre. Retirer quelqu’un renouvelle</w:t>
      </w:r>
      <w:r>
        <w:t xml:space="preserve"> </w:t>
      </w:r>
      <w:r>
        <w:t xml:space="preserve">la clé de l’équipe.</w:t>
      </w:r>
    </w:p>
    <w:p>
      <w:pPr>
        <w:pStyle w:val="BodyText"/>
      </w:pPr>
      <w:r>
        <w:rPr>
          <w:b/>
          <w:bCs/>
        </w:rPr>
        <w:t xml:space="preserve">L’accès d’urgence.</w:t>
      </w:r>
      <w:r>
        <w:t xml:space="preserve"> </w:t>
      </w:r>
      <w:r>
        <w:t xml:space="preserve">La possibilité de confier à un proche l’ouverture du coffre après un</w:t>
      </w:r>
      <w:r>
        <w:t xml:space="preserve"> </w:t>
      </w:r>
      <w:r>
        <w:t xml:space="preserve">délai fixé, pendant lequel le titulaire peut refuser.</w:t>
      </w:r>
    </w:p>
    <w:p>
      <w:pPr>
        <w:pStyle w:val="BodyText"/>
      </w:pPr>
      <w:r>
        <w:rPr>
          <w:b/>
          <w:bCs/>
        </w:rPr>
        <w:t xml:space="preserve">Le fonctionnement hors ligne.</w:t>
      </w:r>
      <w:r>
        <w:t xml:space="preserve"> </w:t>
      </w:r>
      <w:r>
        <w:t xml:space="preserve">Le coffre s’ouvre sans réseau, depuis une copie chiffrée</w:t>
      </w:r>
      <w:r>
        <w:t xml:space="preserve"> </w:t>
      </w:r>
      <w:r>
        <w:t xml:space="preserve">conservée sur l’appareil.</w:t>
      </w:r>
    </w:p>
    <w:bookmarkEnd w:id="10"/>
    <w:bookmarkStart w:id="11" w:name="X8aa2c77fcf5abfc0bbb60b9bc79f1d4701646dc"/>
    <w:p>
      <w:pPr>
        <w:pStyle w:val="Heading2"/>
      </w:pPr>
      <w:r>
        <w:t xml:space="preserve">Les fonctionnalités cryptographiques, en résumé</w:t>
      </w:r>
    </w:p>
    <w:p>
      <w:pPr>
        <w:pStyle w:val="FirstParagraph"/>
      </w:pPr>
      <w:r>
        <w:t xml:space="preserve">Le mot de passe maître de l’utilisateur ne quitte jamais son appareil. Il y est transformé</w:t>
      </w:r>
      <w:r>
        <w:t xml:space="preserve"> </w:t>
      </w:r>
      <w:r>
        <w:t xml:space="preserve">en clé par</w:t>
      </w:r>
      <w:r>
        <w:t xml:space="preserve"> </w:t>
      </w:r>
      <w:r>
        <w:rPr>
          <w:b/>
          <w:bCs/>
        </w:rPr>
        <w:t xml:space="preserve">Argon2id</w:t>
      </w:r>
      <w:r>
        <w:t xml:space="preserve">, et cette clé ouvre le coffre, chiffré en</w:t>
      </w:r>
      <w:r>
        <w:t xml:space="preserve"> </w:t>
      </w:r>
      <w:r>
        <w:rPr>
          <w:b/>
          <w:bCs/>
        </w:rPr>
        <w:t xml:space="preserve">XChaCha20-Poly1305</w:t>
      </w:r>
      <w:r>
        <w:t xml:space="preserve">. Le serveur ne reçoit qu’un condensat d’authentification, qui ne</w:t>
      </w:r>
      <w:r>
        <w:t xml:space="preserve"> </w:t>
      </w:r>
      <w:r>
        <w:t xml:space="preserve">permet pas de remonter au mot de passe ni d’ouvrir quoi que ce soit.</w:t>
      </w:r>
    </w:p>
    <w:p>
      <w:pPr>
        <w:pStyle w:val="BodyText"/>
      </w:pPr>
      <w:r>
        <w:t xml:space="preserve">Les secrets partagés par lien sont scellés en</w:t>
      </w:r>
      <w:r>
        <w:t xml:space="preserve"> </w:t>
      </w:r>
      <w:r>
        <w:rPr>
          <w:b/>
          <w:bCs/>
        </w:rPr>
        <w:t xml:space="preserve">AES-256-GCM</w:t>
      </w:r>
      <w:r>
        <w:t xml:space="preserve">, et les clés d’organisation</w:t>
      </w:r>
      <w:r>
        <w:t xml:space="preserve"> </w:t>
      </w:r>
      <w:r>
        <w:t xml:space="preserve">par une boîte authentifiée</w:t>
      </w:r>
      <w:r>
        <w:t xml:space="preserve"> </w:t>
      </w:r>
      <w:r>
        <w:rPr>
          <w:b/>
          <w:bCs/>
        </w:rPr>
        <w:t xml:space="preserve">X25519 avec ChaCha20-Poly1305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Aucun de ces algorithmes n’a été écrit pour ce produit.</w:t>
      </w:r>
      <w:r>
        <w:t xml:space="preserve"> </w:t>
      </w:r>
      <w:r>
        <w:t xml:space="preserve">Tous sont publiés et</w:t>
      </w:r>
      <w:r>
        <w:t xml:space="preserve"> </w:t>
      </w:r>
      <w:r>
        <w:t xml:space="preserve">normalisés — RFC 9106, RFC 8439, NIST FIPS 197 et SP 800-38D, RFC 7748, RFC 5869,</w:t>
      </w:r>
      <w:r>
        <w:t xml:space="preserve"> </w:t>
      </w:r>
      <w:r>
        <w:t xml:space="preserve">NIST FIPS 180-4 — et mis en œuvre par des bibliothèques publiques et auditables.</w:t>
      </w:r>
    </w:p>
    <w:p>
      <w:pPr>
        <w:pStyle w:val="BodyText"/>
      </w:pPr>
      <w:r>
        <w:t xml:space="preserve">Le détail des paramètres figure dans la documentation technique jointe au dossier.</w:t>
      </w:r>
    </w:p>
    <w:bookmarkEnd w:id="11"/>
    <w:bookmarkStart w:id="12" w:name="ce-que-le-produit-ne-fait-pas"/>
    <w:p>
      <w:pPr>
        <w:pStyle w:val="Heading2"/>
      </w:pPr>
      <w:r>
        <w:t xml:space="preserve">Ce que le produit ne fait pas</w:t>
      </w:r>
    </w:p>
    <w:p>
      <w:pPr>
        <w:pStyle w:val="FirstParagraph"/>
      </w:pPr>
      <w:r>
        <w:t xml:space="preserve">Il ne collecte aucune donnée d’usage, n’affiche aucune publicité et ne contient aucun</w:t>
      </w:r>
      <w:r>
        <w:t xml:space="preserve"> </w:t>
      </w:r>
      <w:r>
        <w:t xml:space="preserve">traceur.</w:t>
      </w:r>
    </w:p>
    <w:p>
      <w:pPr>
        <w:pStyle w:val="BodyText"/>
      </w:pPr>
      <w:r>
        <w:t xml:space="preserve">L’éditeur ne détient ni le mot de passe maître, ni la clé de chiffrement, ni aucun contenu</w:t>
      </w:r>
      <w:r>
        <w:t xml:space="preserve"> </w:t>
      </w:r>
      <w:r>
        <w:t xml:space="preserve">de coffre en clair, et n’est pas en mesure de les reconstituer. Ce n’est pas une politique</w:t>
      </w:r>
      <w:r>
        <w:t xml:space="preserve"> </w:t>
      </w:r>
      <w:r>
        <w:t xml:space="preserve">interne : c’est une propriété du produit.</w:t>
      </w:r>
    </w:p>
    <w:bookmarkEnd w:id="12"/>
    <w:bookmarkStart w:id="13" w:name="distribution"/>
    <w:p>
      <w:pPr>
        <w:pStyle w:val="Heading2"/>
      </w:pPr>
      <w:r>
        <w:t xml:space="preserve">Distribution</w:t>
      </w:r>
    </w:p>
    <w:p>
      <w:pPr>
        <w:pStyle w:val="FirstParagraph"/>
      </w:pPr>
      <w:r>
        <w:t xml:space="preserve">Gratuit, sans achat intégré. Distribué par l’App Store d’Apple et le Play Store de Google,</w:t>
      </w:r>
      <w:r>
        <w:t xml:space="preserve"> </w:t>
      </w:r>
      <w:r>
        <w:t xml:space="preserve">et sous forme d’une application web. Le code est disponible sous licence</w:t>
      </w:r>
      <w:r>
        <w:t xml:space="preserve"> </w:t>
      </w:r>
      <w:r>
        <w:rPr>
          <w:b/>
          <w:bCs/>
        </w:rPr>
        <w:t xml:space="preserve">Elastic License 2.0</w:t>
      </w:r>
      <w:r>
        <w:t xml:space="preserve">, et le serveur peut être auto-hébergé.</w:t>
      </w:r>
    </w:p>
    <w:p>
      <w:pPr>
        <w:pStyle w:val="Compact"/>
        <w:numPr>
          <w:ilvl w:val="0"/>
          <w:numId w:val="1001"/>
        </w:numPr>
      </w:pPr>
      <w:r>
        <w:t xml:space="preserve">Site du produit :</w:t>
      </w:r>
      <w:r>
        <w:t xml:space="preserve"> </w:t>
      </w:r>
      <w:r>
        <w:rPr>
          <w:rStyle w:val="VerbatimChar"/>
        </w:rPr>
        <w:t xml:space="preserve">https://ghostsuite.cloud/ghostpass/</w:t>
      </w:r>
    </w:p>
    <w:p>
      <w:pPr>
        <w:pStyle w:val="Compact"/>
        <w:numPr>
          <w:ilvl w:val="0"/>
          <w:numId w:val="1001"/>
        </w:numPr>
      </w:pPr>
      <w:r>
        <w:t xml:space="preserve">Politique de confidentialité :</w:t>
      </w:r>
      <w:r>
        <w:t xml:space="preserve"> </w:t>
      </w:r>
      <w:r>
        <w:rPr>
          <w:rStyle w:val="VerbatimChar"/>
        </w:rPr>
        <w:t xml:space="preserve">https://ghostsuite.cloud/confidentialite/</w:t>
      </w:r>
    </w:p>
    <w:p>
      <w:pPr>
        <w:pStyle w:val="Compact"/>
        <w:numPr>
          <w:ilvl w:val="0"/>
          <w:numId w:val="1001"/>
        </w:numPr>
      </w:pPr>
      <w:r>
        <w:t xml:space="preserve">Contact :</w:t>
      </w:r>
      <w:r>
        <w:t xml:space="preserve"> </w:t>
      </w:r>
      <w:r>
        <w:rPr>
          <w:rStyle w:val="VerbatimChar"/>
        </w:rPr>
        <w:t xml:space="preserve">contact@stackops.ch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GhostPass — présentation du produit</dc:title>
  <dc:creator>StackOps</dc:creator>
  <cp:keywords/>
  <dcterms:created xsi:type="dcterms:W3CDTF">2026-09-24T21:42:24Z</dcterms:created>
  <dcterms:modified xsi:type="dcterms:W3CDTF">2026-09-24T21:42:24Z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