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GhostPass — documentation technique</w:t>
      </w:r>
    </w:p>
    <w:p>
      <w:pPr>
        <w:pStyle w:val="Author"/>
      </w:pPr>
      <w:r>
        <w:t xml:space="preserve">StackOps</w:t>
      </w:r>
    </w:p>
    <w:bookmarkStart w:id="16" w:name="Xdcd5eb8d7017d927c81654ceebf486b528dbf91"/>
    <w:p>
      <w:pPr>
        <w:pStyle w:val="Heading1"/>
      </w:pPr>
      <w:r>
        <w:t xml:space="preserve">Dossier technique — moyen de cryptologie GhostPass</w:t>
      </w:r>
    </w:p>
    <w:p>
      <w:pPr>
        <w:pStyle w:val="FirstParagraph"/>
      </w:pPr>
      <w:r>
        <w:t xml:space="preserve">Annexe technique destinée à la</w:t>
      </w:r>
      <w:r>
        <w:t xml:space="preserve"> </w:t>
      </w:r>
      <w:r>
        <w:rPr>
          <w:b/>
          <w:bCs/>
        </w:rPr>
        <w:t xml:space="preserve">déclaration de fourniture d’un moyen de cryptologie</w:t>
      </w:r>
      <w:r>
        <w:t xml:space="preserve"> </w:t>
      </w:r>
      <w:r>
        <w:t xml:space="preserve">auprès de l’ANSSI.</w:t>
      </w:r>
    </w:p>
    <w:bookmarkStart w:id="9" w:name="objet"/>
    <w:p>
      <w:pPr>
        <w:pStyle w:val="Heading2"/>
      </w:pPr>
      <w:r>
        <w:t xml:space="preserve">1. Objet</w:t>
      </w:r>
    </w:p>
    <w:p>
      <w:pPr>
        <w:pStyle w:val="FirstParagraph"/>
      </w:pPr>
      <w:r>
        <w:t xml:space="preserve">GhostPass est un gestionnaire de mots de passe</w:t>
      </w:r>
      <w:r>
        <w:t xml:space="preserve"> </w:t>
      </w:r>
      <w:r>
        <w:rPr>
          <w:b/>
          <w:bCs/>
        </w:rPr>
        <w:t xml:space="preserve">à connaissance nulle</w:t>
      </w:r>
      <w:r>
        <w:t xml:space="preserve"> </w:t>
      </w:r>
      <w:r>
        <w:t xml:space="preserve">: le serveur ne</w:t>
      </w:r>
      <w:r>
        <w:t xml:space="preserve"> </w:t>
      </w:r>
      <w:r>
        <w:t xml:space="preserve">détient à aucun moment de quoi lire le contenu d’un coffre. Le chiffrement et le</w:t>
      </w:r>
      <w:r>
        <w:t xml:space="preserve"> </w:t>
      </w:r>
      <w:r>
        <w:t xml:space="preserve">déchiffrement ont lieu sur l’appareil de l’utilisateur.</w:t>
      </w:r>
    </w:p>
    <w:p>
      <w:pPr>
        <w:pStyle w:val="BodyText"/>
      </w:pPr>
      <w:r>
        <w:t xml:space="preserve">Il est distribué sous</w:t>
      </w:r>
      <w:r>
        <w:t xml:space="preserve"> </w:t>
      </w:r>
      <w:r>
        <w:rPr>
          <w:b/>
          <w:bCs/>
        </w:rPr>
        <w:t xml:space="preserve">Elastic License 2.0</w:t>
      </w:r>
      <w:r>
        <w:t xml:space="preserve">, et peut être</w:t>
      </w:r>
      <w:r>
        <w:t xml:space="preserve"> </w:t>
      </w:r>
      <w:r>
        <w:rPr>
          <w:b/>
          <w:bCs/>
        </w:rPr>
        <w:t xml:space="preserve">auto-hébergé</w:t>
      </w:r>
      <w:r>
        <w:t xml:space="preserve"> </w:t>
      </w:r>
      <w:r>
        <w:t xml:space="preserve">: l’éditeur</w:t>
      </w:r>
      <w:r>
        <w:t xml:space="preserve"> </w:t>
      </w:r>
      <w:r>
        <w:t xml:space="preserve">n’est pas un passage obligé.</w:t>
      </w:r>
    </w:p>
    <w:p>
      <w:pPr>
        <w:pStyle w:val="BodyText"/>
      </w:pPr>
      <w:r>
        <w:t xml:space="preserve">Formes de mise à disposition : application iOS (App Store), application Android,</w:t>
      </w:r>
      <w:r>
        <w:t xml:space="preserve"> </w:t>
      </w:r>
      <w:r>
        <w:t xml:space="preserve">application web, et serveur auto-hébergeable.</w:t>
      </w:r>
    </w:p>
    <w:bookmarkEnd w:id="9"/>
    <w:bookmarkStart w:id="11" w:name="X6fad307a5f508f0fddaec8add228866ddd51b02"/>
    <w:p>
      <w:pPr>
        <w:pStyle w:val="Heading2"/>
      </w:pPr>
      <w:r>
        <w:t xml:space="preserve">2. Fonctions cryptographiques mises en œuvre</w:t>
      </w:r>
    </w:p>
    <w:p>
      <w:pPr>
        <w:pStyle w:val="FirstParagraph"/>
      </w:pPr>
      <w:r>
        <w:t xml:space="preserve">Le cœur cryptographique est unique et écrit en Rust —</w:t>
      </w:r>
      <w:r>
        <w:t xml:space="preserve"> </w:t>
      </w:r>
      <w:r>
        <w:rPr>
          <w:rStyle w:val="VerbatimChar"/>
        </w:rPr>
        <w:t xml:space="preserve">suite/crates/ghost-crypto</w:t>
      </w:r>
      <w:r>
        <w:t xml:space="preserve"> </w:t>
      </w:r>
      <w:r>
        <w:t xml:space="preserve">—, partagé</w:t>
      </w:r>
      <w:r>
        <w:t xml:space="preserve"> </w:t>
      </w:r>
      <w:r>
        <w:t xml:space="preserve">par toutes les applications au moyen de liaisons générées (UniFFI pour Swift et Kotlin,</w:t>
      </w:r>
      <w:r>
        <w:t xml:space="preserve"> </w:t>
      </w:r>
      <w:r>
        <w:t xml:space="preserve">WebAssembly pour le web).</w:t>
      </w:r>
      <w:r>
        <w:t xml:space="preserve"> </w:t>
      </w:r>
      <w:r>
        <w:rPr>
          <w:b/>
          <w:bCs/>
        </w:rPr>
        <w:t xml:space="preserve">Il n’existe pas de seconde implémentation</w:t>
      </w:r>
      <w:r>
        <w:t xml:space="preserve">, et c’est une</w:t>
      </w:r>
      <w:r>
        <w:t xml:space="preserve"> </w:t>
      </w:r>
      <w:r>
        <w:t xml:space="preserve">décision d’architecture : deux implémentations divergent, et la divergence ne se voit pas.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Fonction</w:t>
            </w:r>
          </w:p>
        </w:tc>
        <w:tc>
          <w:tcPr/>
          <w:p>
            <w:pPr>
              <w:pStyle w:val="Compact"/>
            </w:pPr>
            <w:r>
              <w:t xml:space="preserve">Primitive</w:t>
            </w:r>
          </w:p>
        </w:tc>
        <w:tc>
          <w:tcPr/>
          <w:p>
            <w:pPr>
              <w:pStyle w:val="Compact"/>
            </w:pPr>
            <w:r>
              <w:t xml:space="preserve">Paramètres</w:t>
            </w:r>
          </w:p>
        </w:tc>
        <w:tc>
          <w:tcPr/>
          <w:p>
            <w:pPr>
              <w:pStyle w:val="Compact"/>
            </w:pPr>
            <w:r>
              <w:t xml:space="preserve">Fichier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Dérivation de clé depuis le mot de passe maître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Argon2id</w:t>
            </w:r>
          </w:p>
        </w:tc>
        <w:tc>
          <w:tcPr/>
          <w:p>
            <w:pPr>
              <w:pStyle w:val="Compact"/>
            </w:pPr>
            <w:r>
              <w:t xml:space="preserve">64 Mio, 3 passes, parallélisme 4, sortie 32 octets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kdf.rs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Sel de dérivation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SHA-256</w:t>
            </w:r>
            <w:r>
              <w:t xml:space="preserve"> </w:t>
            </w:r>
            <w:r>
              <w:t xml:space="preserve">de l’adresse normalisée, tronqué</w:t>
            </w:r>
          </w:p>
        </w:tc>
        <w:tc>
          <w:tcPr/>
          <w:p>
            <w:pPr>
              <w:pStyle w:val="Compact"/>
            </w:pPr>
            <w:r>
              <w:t xml:space="preserve">16 octets, déterministe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kdf.rs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Séparation des clés dérivées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HKDF-SHA-256</w:t>
            </w:r>
          </w:p>
        </w:tc>
        <w:tc>
          <w:tcPr/>
          <w:p>
            <w:pPr>
              <w:pStyle w:val="Compact"/>
            </w:pPr>
            <w:r>
              <w:t xml:space="preserve">étiquettes</w:t>
            </w:r>
            <w:r>
              <w:t xml:space="preserve"> </w:t>
            </w:r>
            <w:r>
              <w:rPr>
                <w:rStyle w:val="VerbatimChar"/>
              </w:rPr>
              <w:t xml:space="preserve">stackops:user-encryption-key:v1</w:t>
            </w:r>
            <w:r>
              <w:t xml:space="preserve"> </w:t>
            </w:r>
            <w:r>
              <w:t xml:space="preserve">et</w:t>
            </w:r>
            <w:r>
              <w:t xml:space="preserve"> </w:t>
            </w:r>
            <w:r>
              <w:rPr>
                <w:rStyle w:val="VerbatimChar"/>
              </w:rPr>
              <w:t xml:space="preserve">stackops:master-password-auth:v1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kdf.rs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Chiffrement du coffre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XChaCha20-Poly1305</w:t>
            </w:r>
          </w:p>
        </w:tc>
        <w:tc>
          <w:tcPr/>
          <w:p>
            <w:pPr>
              <w:pStyle w:val="Compact"/>
            </w:pPr>
            <w:r>
              <w:t xml:space="preserve">clé 256 bits, nonce 192 bits (24 octets)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symmetric.rs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Enveloppes de partage de secret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AES-256-GCM</w:t>
            </w:r>
          </w:p>
        </w:tc>
        <w:tc>
          <w:tcPr/>
          <w:p>
            <w:pPr>
              <w:pStyle w:val="Compact"/>
            </w:pPr>
            <w:r>
              <w:t xml:space="preserve">clé 256 bits, nonce 96 bits (12 octets)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partage.rs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Scellement des clés d’organisation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crypto_box</w:t>
            </w:r>
            <w:r>
              <w:t xml:space="preserve"> </w:t>
            </w:r>
            <w:r>
              <w:t xml:space="preserve">(X25519 + ChaCha20-Poly1305)</w:t>
            </w:r>
          </w:p>
        </w:tc>
        <w:tc>
          <w:tcPr/>
          <w:p>
            <w:pPr>
              <w:pStyle w:val="Compact"/>
            </w:pPr>
            <w:r>
              <w:t xml:space="preserve">authentifié émetteur → destinataire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sharing.rs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org.rs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Accord de clés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X25519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keys.rs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Empreintes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SHA-256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kdf.rs</w:t>
            </w:r>
          </w:p>
        </w:tc>
      </w:tr>
    </w:tbl>
    <w:p>
      <w:pPr>
        <w:pStyle w:val="BodyText"/>
      </w:pPr>
      <w:r>
        <w:t xml:space="preserve">Le sel est</w:t>
      </w:r>
      <w:r>
        <w:t xml:space="preserve"> </w:t>
      </w:r>
      <w:r>
        <w:rPr>
          <w:b/>
          <w:bCs/>
        </w:rPr>
        <w:t xml:space="preserve">déterministe</w:t>
      </w:r>
      <w:r>
        <w:t xml:space="preserve">, dérivé de l’adresse de courriel, afin que le client puisse</w:t>
      </w:r>
      <w:r>
        <w:t xml:space="preserve"> </w:t>
      </w:r>
      <w:r>
        <w:t xml:space="preserve">dériver sa clé avant toute connexion — le serveur n’a donc pas à distribuer de sel, ni à</w:t>
      </w:r>
      <w:r>
        <w:t xml:space="preserve"> </w:t>
      </w:r>
      <w:r>
        <w:t xml:space="preserve">savoir qui tente d’ouvrir.</w:t>
      </w:r>
    </w:p>
    <w:p>
      <w:pPr>
        <w:pStyle w:val="BodyText"/>
      </w:pPr>
      <w:r>
        <w:t xml:space="preserve">Les paramètres du KDF reçus du serveur sont</w:t>
      </w:r>
      <w:r>
        <w:t xml:space="preserve"> </w:t>
      </w:r>
      <w:r>
        <w:rPr>
          <w:b/>
          <w:bCs/>
        </w:rPr>
        <w:t xml:space="preserve">revérifiés côté client</w:t>
      </w:r>
      <w:r>
        <w:t xml:space="preserve"> </w:t>
      </w:r>
      <w:r>
        <w:t xml:space="preserve">avant dérivation</w:t>
      </w:r>
      <w:r>
        <w:t xml:space="preserve"> </w:t>
      </w:r>
      <w:r>
        <w:t xml:space="preserve">(</w:t>
      </w:r>
      <w:r>
        <w:rPr>
          <w:rStyle w:val="VerbatimChar"/>
        </w:rPr>
        <w:t xml:space="preserve">KdfParams::ensure_strong</w:t>
      </w:r>
      <w:r>
        <w:t xml:space="preserve">, planchers 64 Mio et 3 passes). Sans ce contrôle, un serveur</w:t>
      </w:r>
      <w:r>
        <w:t xml:space="preserve"> </w:t>
      </w:r>
      <w:r>
        <w:t xml:space="preserve">hostile pourrait imposer un coût trivial et rendre le condensat d’authentification</w:t>
      </w:r>
      <w:r>
        <w:t xml:space="preserve"> </w:t>
      </w:r>
      <w:r>
        <w:t xml:space="preserve">attaquable hors ligne.</w:t>
      </w:r>
    </w:p>
    <w:bookmarkStart w:id="10" w:name="bibliothèques-tierces"/>
    <w:p>
      <w:pPr>
        <w:pStyle w:val="Heading3"/>
      </w:pPr>
      <w:r>
        <w:t xml:space="preserve">Bibliothèques tierces</w:t>
      </w:r>
    </w:p>
    <w:p>
      <w:pPr>
        <w:pStyle w:val="FirstParagraph"/>
      </w:pPr>
      <w:r>
        <w:rPr>
          <w:rStyle w:val="VerbatimChar"/>
        </w:rPr>
        <w:t xml:space="preserve">argon2 0.5</w:t>
      </w:r>
      <w:r>
        <w:t xml:space="preserve">,</w:t>
      </w:r>
      <w:r>
        <w:t xml:space="preserve"> </w:t>
      </w:r>
      <w:r>
        <w:rPr>
          <w:rStyle w:val="VerbatimChar"/>
        </w:rPr>
        <w:t xml:space="preserve">chacha20poly1305 0.10</w:t>
      </w:r>
      <w:r>
        <w:t xml:space="preserve">,</w:t>
      </w:r>
      <w:r>
        <w:t xml:space="preserve"> </w:t>
      </w:r>
      <w:r>
        <w:rPr>
          <w:rStyle w:val="VerbatimChar"/>
        </w:rPr>
        <w:t xml:space="preserve">aes-gcm 0.10</w:t>
      </w:r>
      <w:r>
        <w:t xml:space="preserve">,</w:t>
      </w:r>
      <w:r>
        <w:t xml:space="preserve"> </w:t>
      </w:r>
      <w:r>
        <w:rPr>
          <w:rStyle w:val="VerbatimChar"/>
        </w:rPr>
        <w:t xml:space="preserve">crypto_box 0.9</w:t>
      </w:r>
      <w:r>
        <w:t xml:space="preserve">,</w:t>
      </w:r>
      <w:r>
        <w:t xml:space="preserve"> </w:t>
      </w:r>
      <w:r>
        <w:rPr>
          <w:rStyle w:val="VerbatimChar"/>
        </w:rPr>
        <w:t xml:space="preserve">x25519-dalek 2.0</w:t>
      </w:r>
      <w:r>
        <w:t xml:space="preserve">,</w:t>
      </w:r>
      <w:r>
        <w:t xml:space="preserve"> </w:t>
      </w:r>
      <w:r>
        <w:rPr>
          <w:rStyle w:val="VerbatimChar"/>
        </w:rPr>
        <w:t xml:space="preserve">hkdf 0.12</w:t>
      </w:r>
      <w:r>
        <w:t xml:space="preserve">,</w:t>
      </w:r>
      <w:r>
        <w:t xml:space="preserve"> </w:t>
      </w:r>
      <w:r>
        <w:rPr>
          <w:rStyle w:val="VerbatimChar"/>
        </w:rPr>
        <w:t xml:space="preserve">sha2 0.10</w:t>
      </w:r>
      <w:r>
        <w:t xml:space="preserve">,</w:t>
      </w:r>
      <w:r>
        <w:t xml:space="preserve"> </w:t>
      </w:r>
      <w:r>
        <w:rPr>
          <w:rStyle w:val="VerbatimChar"/>
        </w:rPr>
        <w:t xml:space="preserve">zeroize 1.9</w:t>
      </w:r>
      <w:r>
        <w:t xml:space="preserve">,</w:t>
      </w:r>
      <w:r>
        <w:t xml:space="preserve"> </w:t>
      </w:r>
      <w:r>
        <w:rPr>
          <w:rStyle w:val="VerbatimChar"/>
        </w:rPr>
        <w:t xml:space="preserve">rand_core 0.6</w:t>
      </w:r>
      <w:r>
        <w:t xml:space="preserve"> </w:t>
      </w:r>
      <w:r>
        <w:t xml:space="preserve">(entropie fournie par le système</w:t>
      </w:r>
      <w:r>
        <w:t xml:space="preserve"> </w:t>
      </w:r>
      <w:r>
        <w:t xml:space="preserve">d’exploitation via</w:t>
      </w:r>
      <w:r>
        <w:t xml:space="preserve"> </w:t>
      </w:r>
      <w:r>
        <w:rPr>
          <w:rStyle w:val="VerbatimChar"/>
        </w:rPr>
        <w:t xml:space="preserve">getrandom</w:t>
      </w:r>
      <w:r>
        <w:t xml:space="preserve">). Ce sont des implémentations publiques et auditables ;</w:t>
      </w:r>
      <w:r>
        <w:t xml:space="preserve"> </w:t>
      </w:r>
      <w:r>
        <w:rPr>
          <w:b/>
          <w:bCs/>
        </w:rPr>
        <w:t xml:space="preserve">aucun algorithme n’a été écrit pour ce produit</w:t>
      </w:r>
      <w:r>
        <w:t xml:space="preserve">.</w:t>
      </w:r>
    </w:p>
    <w:bookmarkEnd w:id="10"/>
    <w:bookmarkEnd w:id="11"/>
    <w:bookmarkStart w:id="12" w:name="gestion-des-clés"/>
    <w:p>
      <w:pPr>
        <w:pStyle w:val="Heading2"/>
      </w:pPr>
      <w:r>
        <w:t xml:space="preserve">3. Gestion des clés</w:t>
      </w:r>
    </w:p>
    <w:p>
      <w:pPr>
        <w:pStyle w:val="FirstParagraph"/>
      </w:pPr>
      <w:r>
        <w:t xml:space="preserve">Le mot de passe maître ne quitte jamais l’appareil. De lui sont dérivées, par HKDF sur des</w:t>
      </w:r>
      <w:r>
        <w:t xml:space="preserve"> </w:t>
      </w:r>
      <w:r>
        <w:t xml:space="preserve">étiquettes distinctes, deux clés qui ne se recouvrent pas :</w:t>
      </w:r>
    </w:p>
    <w:p>
      <w:pPr>
        <w:pStyle w:val="Compact"/>
        <w:numPr>
          <w:ilvl w:val="0"/>
          <w:numId w:val="1001"/>
        </w:numPr>
      </w:pPr>
      <w:r>
        <w:t xml:space="preserve">une</w:t>
      </w:r>
      <w:r>
        <w:t xml:space="preserve"> </w:t>
      </w:r>
      <w:r>
        <w:rPr>
          <w:b/>
          <w:bCs/>
        </w:rPr>
        <w:t xml:space="preserve">clé de chiffrement</w:t>
      </w:r>
      <w:r>
        <w:t xml:space="preserve">, qui protège la clé symétrique de l’utilisateur et</w:t>
      </w:r>
      <w:r>
        <w:t xml:space="preserve"> </w:t>
      </w:r>
      <w:r>
        <w:rPr>
          <w:b/>
          <w:bCs/>
        </w:rPr>
        <w:t xml:space="preserve">reste sur</w:t>
      </w:r>
      <w:r>
        <w:rPr>
          <w:b/>
          <w:bCs/>
        </w:rPr>
        <w:t xml:space="preserve"> </w:t>
      </w:r>
      <w:r>
        <w:rPr>
          <w:b/>
          <w:bCs/>
        </w:rPr>
        <w:t xml:space="preserve">le client</w:t>
      </w:r>
      <w:r>
        <w:t xml:space="preserve"> </w:t>
      </w:r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un</w:t>
      </w:r>
      <w:r>
        <w:t xml:space="preserve"> </w:t>
      </w:r>
      <w:r>
        <w:rPr>
          <w:b/>
          <w:bCs/>
        </w:rPr>
        <w:t xml:space="preserve">condensat d’authentification</w:t>
      </w:r>
      <w:r>
        <w:t xml:space="preserve">, seul à être transmis, et que le serveur recondense</w:t>
      </w:r>
      <w:r>
        <w:t xml:space="preserve"> </w:t>
      </w:r>
      <w:r>
        <w:t xml:space="preserve">avant stockage.</w:t>
      </w:r>
    </w:p>
    <w:p>
      <w:pPr>
        <w:pStyle w:val="FirstParagraph"/>
      </w:pPr>
      <w:r>
        <w:t xml:space="preserve">Chaque élément du coffre porte sa propre clé, elle-même chiffrée sous la clé de</w:t>
      </w:r>
      <w:r>
        <w:t xml:space="preserve"> </w:t>
      </w:r>
      <w:r>
        <w:t xml:space="preserve">l’utilisateur. Les coffres d’organisation emploient une clé d’organisation scellée</w:t>
      </w:r>
      <w:r>
        <w:t xml:space="preserve"> </w:t>
      </w:r>
      <w:r>
        <w:t xml:space="preserve">individuellement pour chaque membre par une box authentifiée.</w:t>
      </w:r>
    </w:p>
    <w:p>
      <w:pPr>
        <w:pStyle w:val="BodyText"/>
      </w:pPr>
      <w:r>
        <w:rPr>
          <w:b/>
          <w:bCs/>
        </w:rPr>
        <w:t xml:space="preserve">Conservation sur l’appareil</w:t>
      </w:r>
      <w:r>
        <w:t xml:space="preserve"> </w:t>
      </w:r>
      <w:r>
        <w:t xml:space="preserve">: sur iOS, trousseau système avec</w:t>
      </w:r>
      <w:r>
        <w:t xml:space="preserve"> </w:t>
      </w:r>
      <w:r>
        <w:rPr>
          <w:rStyle w:val="VerbatimChar"/>
        </w:rPr>
        <w:t xml:space="preserve">kSecAttrAccessibleWhenPasscodeSetThisDeviceOnly</w:t>
      </w:r>
      <w:r>
        <w:t xml:space="preserve"> </w:t>
      </w:r>
      <w:r>
        <w:t xml:space="preserve">et, pour le déverrouillage biométrique,</w:t>
      </w:r>
      <w:r>
        <w:t xml:space="preserve"> </w:t>
      </w:r>
      <w:r>
        <w:rPr>
          <w:rStyle w:val="VerbatimChar"/>
        </w:rPr>
        <w:t xml:space="preserve">.biometryCurrentSet</w:t>
      </w:r>
      <w:r>
        <w:t xml:space="preserve"> </w:t>
      </w:r>
      <w:r>
        <w:t xml:space="preserve">— l’entrée est invalidée dès qu’une biométrie est enrôlée. Sur</w:t>
      </w:r>
      <w:r>
        <w:t xml:space="preserve"> </w:t>
      </w:r>
      <w:r>
        <w:t xml:space="preserve">Android,</w:t>
      </w:r>
      <w:r>
        <w:t xml:space="preserve"> </w:t>
      </w:r>
      <w:r>
        <w:rPr>
          <w:rStyle w:val="VerbatimChar"/>
        </w:rPr>
        <w:t xml:space="preserve">AndroidKeyStore</w:t>
      </w:r>
      <w:r>
        <w:t xml:space="preserve"> </w:t>
      </w:r>
      <w:r>
        <w:t xml:space="preserve">avec</w:t>
      </w:r>
      <w:r>
        <w:t xml:space="preserve"> </w:t>
      </w:r>
      <w:r>
        <w:rPr>
          <w:rStyle w:val="VerbatimChar"/>
        </w:rPr>
        <w:t xml:space="preserve">setUserAuthenticationRequired</w:t>
      </w:r>
      <w:r>
        <w:t xml:space="preserve">, biométrie forte seule,</w:t>
      </w:r>
      <w:r>
        <w:t xml:space="preserve"> </w:t>
      </w:r>
      <w:r>
        <w:rPr>
          <w:rStyle w:val="VerbatimChar"/>
        </w:rPr>
        <w:t xml:space="preserve">setInvalidatedByBiometricEnrollment</w:t>
      </w:r>
      <w:r>
        <w:t xml:space="preserve"> </w:t>
      </w:r>
      <w:r>
        <w:t xml:space="preserve">et</w:t>
      </w:r>
      <w:r>
        <w:t xml:space="preserve"> </w:t>
      </w:r>
      <w:r>
        <w:rPr>
          <w:rStyle w:val="VerbatimChar"/>
        </w:rPr>
        <w:t xml:space="preserve">setUnlockedDeviceRequired</w:t>
      </w:r>
      <w:r>
        <w:t xml:space="preserve">. Les secrets en</w:t>
      </w:r>
      <w:r>
        <w:t xml:space="preserve"> </w:t>
      </w:r>
      <w:r>
        <w:t xml:space="preserve">mémoire sont effacés (</w:t>
      </w:r>
      <w:r>
        <w:rPr>
          <w:rStyle w:val="VerbatimChar"/>
        </w:rPr>
        <w:t xml:space="preserve">zeroize</w:t>
      </w:r>
      <w:r>
        <w:t xml:space="preserve">).</w:t>
      </w:r>
    </w:p>
    <w:bookmarkEnd w:id="12"/>
    <w:bookmarkStart w:id="13" w:name="X5bf84e6a5f232fc6e07793e2733c1c44d42fece"/>
    <w:p>
      <w:pPr>
        <w:pStyle w:val="Heading2"/>
      </w:pPr>
      <w:r>
        <w:t xml:space="preserve">4. Ce que le serveur détient — et ce qu’il ne détient pas</w:t>
      </w:r>
    </w:p>
    <w:p>
      <w:pPr>
        <w:pStyle w:val="FirstParagraph"/>
      </w:pPr>
      <w:r>
        <w:t xml:space="preserve">Table</w:t>
      </w:r>
      <w:r>
        <w:t xml:space="preserve"> </w:t>
      </w:r>
      <w:r>
        <w:rPr>
          <w:rStyle w:val="VerbatimChar"/>
        </w:rPr>
        <w:t xml:space="preserve">users</w:t>
      </w:r>
      <w:r>
        <w:t xml:space="preserve"> </w:t>
      </w:r>
      <w:r>
        <w:t xml:space="preserve">: adresse de courriel, paramètres KDF, condensat d’authentification</w:t>
      </w:r>
      <w:r>
        <w:t xml:space="preserve"> </w:t>
      </w:r>
      <w:r>
        <w:t xml:space="preserve">recondensé, sel,</w:t>
      </w:r>
      <w:r>
        <w:t xml:space="preserve"> </w:t>
      </w:r>
      <w:r>
        <w:rPr>
          <w:b/>
          <w:bCs/>
        </w:rPr>
        <w:t xml:space="preserve">clé de l’utilisateur chiffrée</w:t>
      </w:r>
      <w:r>
        <w:t xml:space="preserve">,</w:t>
      </w:r>
      <w:r>
        <w:t xml:space="preserve"> </w:t>
      </w:r>
      <w:r>
        <w:rPr>
          <w:b/>
          <w:bCs/>
        </w:rPr>
        <w:t xml:space="preserve">clé privée chiffrée</w:t>
      </w:r>
      <w:r>
        <w:t xml:space="preserve">, clé publique,</w:t>
      </w:r>
      <w:r>
        <w:t xml:space="preserve"> </w:t>
      </w:r>
      <w:r>
        <w:t xml:space="preserve">et le cas échéant le secret du second facteur et les éléments de récupération.</w:t>
      </w:r>
    </w:p>
    <w:p>
      <w:pPr>
        <w:pStyle w:val="BodyText"/>
      </w:pPr>
      <w:r>
        <w:t xml:space="preserve">Table</w:t>
      </w:r>
      <w:r>
        <w:t xml:space="preserve"> </w:t>
      </w:r>
      <w:r>
        <w:rPr>
          <w:rStyle w:val="VerbatimChar"/>
        </w:rPr>
        <w:t xml:space="preserve">vault_items</w:t>
      </w:r>
      <w:r>
        <w:t xml:space="preserve"> </w:t>
      </w:r>
      <w:r>
        <w:t xml:space="preserve">: identifiants,</w:t>
      </w:r>
      <w:r>
        <w:t xml:space="preserve"> </w:t>
      </w:r>
      <w:r>
        <w:rPr>
          <w:b/>
          <w:bCs/>
        </w:rPr>
        <w:t xml:space="preserve">clé chiffrée</w:t>
      </w:r>
      <w:r>
        <w:t xml:space="preserve">,</w:t>
      </w:r>
      <w:r>
        <w:t xml:space="preserve"> </w:t>
      </w:r>
      <w:r>
        <w:rPr>
          <w:b/>
          <w:bCs/>
        </w:rPr>
        <w:t xml:space="preserve">données chiffrées</w:t>
      </w:r>
      <w:r>
        <w:t xml:space="preserve">, horodatages.</w:t>
      </w:r>
    </w:p>
    <w:p>
      <w:pPr>
        <w:pStyle w:val="BodyText"/>
      </w:pPr>
      <w:r>
        <w:t xml:space="preserve">Le serveur détient donc des adresses de courriel et des blocs chiffrés. Il</w:t>
      </w:r>
      <w:r>
        <w:t xml:space="preserve"> </w:t>
      </w:r>
      <w:r>
        <w:rPr>
          <w:b/>
          <w:bCs/>
        </w:rPr>
        <w:t xml:space="preserve">ne détient</w:t>
      </w:r>
      <w:r>
        <w:rPr>
          <w:b/>
          <w:bCs/>
        </w:rPr>
        <w:t xml:space="preserve"> </w:t>
      </w:r>
      <w:r>
        <w:rPr>
          <w:b/>
          <w:bCs/>
        </w:rPr>
        <w:t xml:space="preserve">pas</w:t>
      </w:r>
      <w:r>
        <w:t xml:space="preserve"> </w:t>
      </w:r>
      <w:r>
        <w:t xml:space="preserve">: mot de passe maître, clé de chiffrement, clé privée en clair, ni aucun contenu de</w:t>
      </w:r>
      <w:r>
        <w:t xml:space="preserve"> </w:t>
      </w:r>
      <w:r>
        <w:t xml:space="preserve">coffre en clair. Il ne peut pas les reconstituer.</w:t>
      </w:r>
    </w:p>
    <w:p>
      <w:pPr>
        <w:pStyle w:val="BodyText"/>
      </w:pPr>
      <w:r>
        <w:t xml:space="preserve">Cette distinction est celle qui figure dans la politique de confidentialité publiée :</w:t>
      </w:r>
      <w:r>
        <w:t xml:space="preserve"> </w:t>
      </w:r>
      <w:r>
        <w:t xml:space="preserve">qu’une donnée soit illisible ne la rend pas inexistante, et la déclaration ne prétend pas</w:t>
      </w:r>
      <w:r>
        <w:t xml:space="preserve"> </w:t>
      </w:r>
      <w:r>
        <w:t xml:space="preserve">« aucune donnée collectée ».</w:t>
      </w:r>
    </w:p>
    <w:bookmarkEnd w:id="13"/>
    <w:bookmarkStart w:id="14" w:name="transport"/>
    <w:p>
      <w:pPr>
        <w:pStyle w:val="Heading2"/>
      </w:pPr>
      <w:r>
        <w:t xml:space="preserve">5. Transport</w:t>
      </w:r>
    </w:p>
    <w:p>
      <w:pPr>
        <w:pStyle w:val="FirstParagraph"/>
      </w:pPr>
      <w:r>
        <w:t xml:space="preserve">HTTPS/TLS entre les applications et le serveur, assuré par l’hébergement. Le chiffrement de</w:t>
      </w:r>
      <w:r>
        <w:t xml:space="preserve"> </w:t>
      </w:r>
      <w:r>
        <w:t xml:space="preserve">bout en bout est</w:t>
      </w:r>
      <w:r>
        <w:t xml:space="preserve"> </w:t>
      </w:r>
      <w:r>
        <w:rPr>
          <w:b/>
          <w:bCs/>
        </w:rPr>
        <w:t xml:space="preserve">indépendant</w:t>
      </w:r>
      <w:r>
        <w:t xml:space="preserve"> </w:t>
      </w:r>
      <w:r>
        <w:t xml:space="preserve">du transport : il protège le contenu y compris d’un</w:t>
      </w:r>
      <w:r>
        <w:t xml:space="preserve"> </w:t>
      </w:r>
      <w:r>
        <w:t xml:space="preserve">serveur compromis, ce que TLS ne fait pas.</w:t>
      </w:r>
    </w:p>
    <w:bookmarkEnd w:id="14"/>
    <w:bookmarkStart w:id="15" w:name="interopérabilité"/>
    <w:p>
      <w:pPr>
        <w:pStyle w:val="Heading2"/>
      </w:pPr>
      <w:r>
        <w:t xml:space="preserve">6. Interopérabilité</w:t>
      </w:r>
    </w:p>
    <w:p>
      <w:pPr>
        <w:pStyle w:val="FirstParagraph"/>
      </w:pPr>
      <w:r>
        <w:t xml:space="preserve">Formats et vecteurs figés dans</w:t>
      </w:r>
      <w:r>
        <w:t xml:space="preserve"> </w:t>
      </w:r>
      <w:r>
        <w:rPr>
          <w:rStyle w:val="VerbatimChar"/>
        </w:rPr>
        <w:t xml:space="preserve">suite/assets/vecteurs/contrat.json</w:t>
      </w:r>
      <w:r>
        <w:t xml:space="preserve">, éprouvés par des</w:t>
      </w:r>
      <w:r>
        <w:t xml:space="preserve"> </w:t>
      </w:r>
      <w:r>
        <w:t xml:space="preserve">témoins croisés entre les implémentations Rust, Swift, Kotlin et WebCrypto. L’enveloppe de</w:t>
      </w:r>
      <w:r>
        <w:t xml:space="preserve"> </w:t>
      </w:r>
      <w:r>
        <w:t xml:space="preserve">partage emploie</w:t>
      </w:r>
      <w:r>
        <w:t xml:space="preserve"> </w:t>
      </w:r>
      <w:r>
        <w:rPr>
          <w:b/>
          <w:bCs/>
        </w:rPr>
        <w:t xml:space="preserve">AES-256-GCM</w:t>
      </w:r>
      <w:r>
        <w:t xml:space="preserve"> </w:t>
      </w:r>
      <w:r>
        <w:t xml:space="preserve">plutôt que XChaCha20 pour une raison précise : le partage</w:t>
      </w:r>
      <w:r>
        <w:t xml:space="preserve"> </w:t>
      </w:r>
      <w:r>
        <w:t xml:space="preserve">s’ouvre dans un navigateur, et WebCrypto ne fournit pas XChaCha20.</w:t>
      </w:r>
    </w:p>
    <w:bookmarkEnd w:id="15"/>
    <w:bookmarkEnd w:id="1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GhostPass — documentation technique</dc:title>
  <dc:creator>StackOps</dc:creator>
  <cp:keywords/>
  <dcterms:created xsi:type="dcterms:W3CDTF">2026-09-24T21:47:48Z</dcterms:created>
  <dcterms:modified xsi:type="dcterms:W3CDTF">2026-09-24T21:47:48Z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