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5.png" ContentType="image/png"/>
  <Override PartName="/word/media/rId29.png" ContentType="image/png"/>
  <Override PartName="/word/media/rId64.png" ContentType="image/png"/>
  <Override PartName="/word/media/rId56.png" ContentType="image/png"/>
  <Override PartName="/word/media/rId60.png" ContentType="image/png"/>
  <Override PartName="/word/media/rId68.png" ContentType="image/png"/>
  <Override PartName="/word/media/rId76.png" ContentType="image/png"/>
  <Override PartName="/word/media/rId72.png" ContentType="image/png"/>
  <Override PartName="/word/media/rId33.png" ContentType="image/png"/>
  <Override PartName="/word/media/rId46.png" ContentType="image/png"/>
  <Override PartName="/word/media/rId50.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Reproducibility</w:t>
      </w:r>
      <w:r>
        <w:t xml:space="preserve"> </w:t>
      </w:r>
      <w:r>
        <w:t xml:space="preserve">Package</w:t>
      </w:r>
      <w:r>
        <w:t xml:space="preserve"> </w:t>
      </w:r>
      <w:r>
        <w:t xml:space="preserve">for</w:t>
      </w:r>
      <w:r>
        <w:t xml:space="preserve"> </w:t>
      </w:r>
      <w:r>
        <w:t xml:space="preserve">“</w:t>
      </w:r>
      <w:r>
        <w:t xml:space="preserve">Missing</w:t>
      </w:r>
      <w:r>
        <w:t xml:space="preserve"> </w:t>
      </w:r>
      <w:r>
        <w:t xml:space="preserve">SDG</w:t>
      </w:r>
      <w:r>
        <w:t xml:space="preserve"> </w:t>
      </w:r>
      <w:r>
        <w:t xml:space="preserve">Gender</w:t>
      </w:r>
      <w:r>
        <w:t xml:space="preserve"> </w:t>
      </w:r>
      <w:r>
        <w:t xml:space="preserve">Indicators</w:t>
      </w:r>
      <w:r>
        <w:t xml:space="preserve">”</w:t>
      </w:r>
    </w:p>
    <w:p>
      <w:pPr>
        <w:pStyle w:val="Author"/>
      </w:pPr>
      <w:r>
        <w:t xml:space="preserve">Kathleen</w:t>
      </w:r>
      <w:r>
        <w:t xml:space="preserve"> </w:t>
      </w:r>
      <w:r>
        <w:t xml:space="preserve">Beegle,</w:t>
      </w:r>
      <w:r>
        <w:t xml:space="preserve"> </w:t>
      </w:r>
      <w:r>
        <w:t xml:space="preserve">Umar</w:t>
      </w:r>
      <w:r>
        <w:t xml:space="preserve"> </w:t>
      </w:r>
      <w:r>
        <w:t xml:space="preserve">Serajuddin,</w:t>
      </w:r>
      <w:r>
        <w:t xml:space="preserve"> </w:t>
      </w:r>
      <w:r>
        <w:t xml:space="preserve">Brian</w:t>
      </w:r>
      <w:r>
        <w:t xml:space="preserve"> </w:t>
      </w:r>
      <w:r>
        <w:t xml:space="preserve">Stacy,</w:t>
      </w:r>
      <w:r>
        <w:t xml:space="preserve"> </w:t>
      </w:r>
      <w:r>
        <w:t xml:space="preserve">Divyanshi</w:t>
      </w:r>
      <w:r>
        <w:t xml:space="preserve"> </w:t>
      </w:r>
      <w:r>
        <w:t xml:space="preserve">Wadhwa</w:t>
      </w:r>
    </w:p>
    <w:p>
      <w:pPr>
        <w:pStyle w:val="Date"/>
      </w:pPr>
      <w:r>
        <w:t xml:space="preserve">2024-10-11</w:t>
      </w:r>
    </w:p>
    <w:p>
      <w:pPr>
        <w:pStyle w:val="AbstractTitle"/>
      </w:pPr>
      <w:r>
        <w:t xml:space="preserve">Abstract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main-tables-and-figures"/>
    <w:p>
      <w:pPr>
        <w:pStyle w:val="Heading1"/>
      </w:pPr>
      <w:r>
        <w:rPr>
          <w:rStyle w:val="SectionNumber"/>
        </w:rPr>
        <w:t xml:space="preserve">1</w:t>
      </w:r>
      <w:r>
        <w:tab/>
      </w:r>
      <w:r>
        <w:t xml:space="preserve">Main Tables and Figures</w:t>
      </w:r>
    </w:p>
    <w:bookmarkStart w:id="23" w:name="figure-1-sources-of-gender-data-gaps"/>
    <w:p>
      <w:pPr>
        <w:pStyle w:val="Heading2"/>
      </w:pPr>
      <w:r>
        <w:rPr>
          <w:rStyle w:val="SectionNumber"/>
        </w:rPr>
        <w:t xml:space="preserve">1.1</w:t>
      </w:r>
      <w:r>
        <w:tab/>
      </w:r>
      <w:r>
        <w:t xml:space="preserve">Figure 1: Sources of gender data gaps</w:t>
      </w:r>
    </w:p>
    <w:p>
      <w:pPr>
        <w:pStyle w:val="FirstParagraph"/>
      </w:pPr>
      <w:r>
        <w:t xml:space="preserve">Figure produced using Microsoft Powerpoint.</w:t>
      </w:r>
    </w:p>
    <w:p>
      <w:pPr>
        <w:pStyle w:val="BodyText"/>
      </w:pPr>
      <w:r>
        <w:drawing>
          <wp:inline>
            <wp:extent cx="5334000" cy="1721012"/>
            <wp:effectExtent b="0" l="0" r="0" t="0"/>
            <wp:docPr descr="" title="" id="21" name="Picture"/>
            <a:graphic>
              <a:graphicData uri="http://schemas.openxmlformats.org/drawingml/2006/picture">
                <pic:pic>
                  <pic:nvPicPr>
                    <pic:cNvPr descr="./plots/fig1-bonfert.jpg" id="22" name="Picture"/>
                    <pic:cNvPicPr>
                      <a:picLocks noChangeArrowheads="1" noChangeAspect="1"/>
                    </pic:cNvPicPr>
                  </pic:nvPicPr>
                  <pic:blipFill>
                    <a:blip r:embed="rId20"/>
                    <a:stretch>
                      <a:fillRect/>
                    </a:stretch>
                  </pic:blipFill>
                  <pic:spPr bwMode="auto">
                    <a:xfrm>
                      <a:off x="0" y="0"/>
                      <a:ext cx="5334000" cy="1721012"/>
                    </a:xfrm>
                    <a:prstGeom prst="rect">
                      <a:avLst/>
                    </a:prstGeom>
                    <a:noFill/>
                    <a:ln w="9525">
                      <a:noFill/>
                      <a:headEnd/>
                      <a:tailEnd/>
                    </a:ln>
                  </pic:spPr>
                </pic:pic>
              </a:graphicData>
            </a:graphic>
          </wp:inline>
        </w:drawing>
      </w:r>
    </w:p>
    <w:p>
      <w:pPr>
        <w:pStyle w:val="BodyText"/>
      </w:pPr>
      <w:r>
        <w:t xml:space="preserve">Source: Bonfert et al. 2022</w:t>
      </w:r>
    </w:p>
    <w:bookmarkEnd w:id="23"/>
    <w:bookmarkStart w:id="24" w:name="X8a1cd6f4d0e43c089bb31f6102a06b1d59db7fd"/>
    <w:p>
      <w:pPr>
        <w:pStyle w:val="Heading2"/>
      </w:pPr>
      <w:r>
        <w:rPr>
          <w:rStyle w:val="SectionNumber"/>
        </w:rPr>
        <w:t xml:space="preserve">1.2</w:t>
      </w:r>
      <w:r>
        <w:tab/>
      </w:r>
      <w:r>
        <w:t xml:space="preserve">Figure 2. Availability of SDG5 gender-related indicators (N=181 countries)</w:t>
      </w:r>
    </w:p>
    <w:p>
      <w:pPr>
        <w:pStyle w:val="FirstParagraph"/>
      </w:pPr>
      <w:r>
        <w:t xml:space="preserve">Published figure produced using Microsoft Excel. See the file Fig2 SDG5 coverage.xlsx.</w:t>
      </w:r>
    </w:p>
    <w:p>
      <w:pPr>
        <w:pStyle w:val="BodyText"/>
      </w:pPr>
      <w:r>
        <w:t xml:space="preserve">Data for excel figure produced below.</w:t>
      </w:r>
    </w:p>
    <w:p>
      <w:pPr>
        <w:pStyle w:val="SourceCode"/>
      </w:pPr>
      <w:r>
        <w:rPr>
          <w:rStyle w:val="VerbatimChar"/>
        </w:rPr>
        <w:t xml:space="preserve">## # A tibble: 11 × 3</w:t>
      </w:r>
      <w:r>
        <w:br/>
      </w:r>
      <w:r>
        <w:rPr>
          <w:rStyle w:val="VerbatimChar"/>
        </w:rPr>
        <w:t xml:space="preserve">##    count     n  share</w:t>
      </w:r>
      <w:r>
        <w:br/>
      </w:r>
      <w:r>
        <w:rPr>
          <w:rStyle w:val="VerbatimChar"/>
        </w:rPr>
        <w:t xml:space="preserve">##    &lt;dbl&gt; &lt;int&gt;  &lt;dbl&gt;</w:t>
      </w:r>
      <w:r>
        <w:br/>
      </w:r>
      <w:r>
        <w:rPr>
          <w:rStyle w:val="VerbatimChar"/>
        </w:rPr>
        <w:t xml:space="preserve">##  1     0     3 0.0166</w:t>
      </w:r>
      <w:r>
        <w:br/>
      </w:r>
      <w:r>
        <w:rPr>
          <w:rStyle w:val="VerbatimChar"/>
        </w:rPr>
        <w:t xml:space="preserve">##  2     1     2 0.0110</w:t>
      </w:r>
      <w:r>
        <w:br/>
      </w:r>
      <w:r>
        <w:rPr>
          <w:rStyle w:val="VerbatimChar"/>
        </w:rPr>
        <w:t xml:space="preserve">##  3     2     4 0.0221</w:t>
      </w:r>
      <w:r>
        <w:br/>
      </w:r>
      <w:r>
        <w:rPr>
          <w:rStyle w:val="VerbatimChar"/>
        </w:rPr>
        <w:t xml:space="preserve">##  4     3    22 0.122 </w:t>
      </w:r>
      <w:r>
        <w:br/>
      </w:r>
      <w:r>
        <w:rPr>
          <w:rStyle w:val="VerbatimChar"/>
        </w:rPr>
        <w:t xml:space="preserve">##  5     4    35 0.193 </w:t>
      </w:r>
      <w:r>
        <w:br/>
      </w:r>
      <w:r>
        <w:rPr>
          <w:rStyle w:val="VerbatimChar"/>
        </w:rPr>
        <w:t xml:space="preserve">##  6     5    39 0.215 </w:t>
      </w:r>
      <w:r>
        <w:br/>
      </w:r>
      <w:r>
        <w:rPr>
          <w:rStyle w:val="VerbatimChar"/>
        </w:rPr>
        <w:t xml:space="preserve">##  7     6    26 0.144 </w:t>
      </w:r>
      <w:r>
        <w:br/>
      </w:r>
      <w:r>
        <w:rPr>
          <w:rStyle w:val="VerbatimChar"/>
        </w:rPr>
        <w:t xml:space="preserve">##  8     7    19 0.105 </w:t>
      </w:r>
      <w:r>
        <w:br/>
      </w:r>
      <w:r>
        <w:rPr>
          <w:rStyle w:val="VerbatimChar"/>
        </w:rPr>
        <w:t xml:space="preserve">##  9     8    21 0.116 </w:t>
      </w:r>
      <w:r>
        <w:br/>
      </w:r>
      <w:r>
        <w:rPr>
          <w:rStyle w:val="VerbatimChar"/>
        </w:rPr>
        <w:t xml:space="preserve">## 10     9     7 0.0387</w:t>
      </w:r>
      <w:r>
        <w:br/>
      </w:r>
      <w:r>
        <w:rPr>
          <w:rStyle w:val="VerbatimChar"/>
        </w:rPr>
        <w:t xml:space="preserve">## 11    10     3 0.0166</w:t>
      </w:r>
    </w:p>
    <w:bookmarkEnd w:id="24"/>
    <w:bookmarkStart w:id="28" w:name="X4a63177449b920e5e6adaab293ea27ccbd598d9"/>
    <w:p>
      <w:pPr>
        <w:pStyle w:val="Heading2"/>
      </w:pPr>
      <w:r>
        <w:rPr>
          <w:rStyle w:val="SectionNumber"/>
        </w:rPr>
        <w:t xml:space="preserve">1.3</w:t>
      </w:r>
      <w:r>
        <w:tab/>
      </w:r>
      <w:r>
        <w:t xml:space="preserve">Figure 3. Availability of SDG gender indicators by region (N=181 countries)</w:t>
      </w:r>
    </w:p>
    <w:p>
      <w:pPr>
        <w:pStyle w:val="FirstParagraph"/>
      </w:pPr>
      <w:r>
        <w:drawing>
          <wp:inline>
            <wp:extent cx="5334000" cy="3556000"/>
            <wp:effectExtent b="0" l="0" r="0" t="0"/>
            <wp:docPr descr="" title="" id="26" name="Picture"/>
            <a:graphic>
              <a:graphicData uri="http://schemas.openxmlformats.org/drawingml/2006/picture">
                <pic:pic>
                  <pic:nvPicPr>
                    <pic:cNvPr descr="plots/avail_chart1-1.png" id="27"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For example, of the 32 gender-related indicators which are sex disaggregated, if countries which had a population estimate also had a sex-disaggregated estimate (almost always, if not always, feasible), the SDG gender coverage rate would be 5015.5% instead of 3987%.</w:t>
      </w:r>
    </w:p>
    <w:bookmarkEnd w:id="28"/>
    <w:bookmarkStart w:id="32" w:name="Xb1f7391492ef4a3508d8496f0fa7302b6a4bce4"/>
    <w:p>
      <w:pPr>
        <w:pStyle w:val="Heading2"/>
      </w:pPr>
      <w:r>
        <w:rPr>
          <w:rStyle w:val="SectionNumber"/>
        </w:rPr>
        <w:t xml:space="preserve">1.4</w:t>
      </w:r>
      <w:r>
        <w:tab/>
      </w:r>
      <w:r>
        <w:t xml:space="preserve">Figure 4. Availability of SDG gender indicators by income group (N=181 countries)</w:t>
      </w:r>
    </w:p>
    <w:p>
      <w:pPr>
        <w:pStyle w:val="FirstParagraph"/>
      </w:pPr>
      <w:r>
        <w:drawing>
          <wp:inline>
            <wp:extent cx="5334000" cy="3556000"/>
            <wp:effectExtent b="0" l="0" r="0" t="0"/>
            <wp:docPr descr="" title="" id="30" name="Picture"/>
            <a:graphic>
              <a:graphicData uri="http://schemas.openxmlformats.org/drawingml/2006/picture">
                <pic:pic>
                  <pic:nvPicPr>
                    <pic:cNvPr descr="plots/avail_chart11-1.png" id="31"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bookmarkEnd w:id="32"/>
    <w:bookmarkStart w:id="36" w:name="Xb44b5fb98f8269adc5a1fe088da3d5b7ec5d195"/>
    <w:p>
      <w:pPr>
        <w:pStyle w:val="Heading2"/>
      </w:pPr>
      <w:r>
        <w:rPr>
          <w:rStyle w:val="SectionNumber"/>
        </w:rPr>
        <w:t xml:space="preserve">1.5</w:t>
      </w:r>
      <w:r>
        <w:tab/>
      </w:r>
      <w:r>
        <w:t xml:space="preserve">Figure 5. GDP per capita and SDG gender indicators (n=181 economies)</w:t>
      </w:r>
    </w:p>
    <w:p>
      <w:pPr>
        <w:pStyle w:val="FirstParagraph"/>
      </w:pPr>
      <w:r>
        <w:drawing>
          <wp:inline>
            <wp:extent cx="5334000" cy="3556000"/>
            <wp:effectExtent b="0" l="0" r="0" t="0"/>
            <wp:docPr descr="" title="" id="34" name="Picture"/>
            <a:graphic>
              <a:graphicData uri="http://schemas.openxmlformats.org/drawingml/2006/picture">
                <pic:pic>
                  <pic:nvPicPr>
                    <pic:cNvPr descr="plots/gdppl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6"/>
    <w:bookmarkStart w:id="37" w:name="Xed6064df03a6b12ef845e8b8335fb220e9d83b8"/>
    <w:p>
      <w:pPr>
        <w:pStyle w:val="Heading2"/>
      </w:pPr>
      <w:r>
        <w:rPr>
          <w:rStyle w:val="SectionNumber"/>
        </w:rPr>
        <w:t xml:space="preserve">1.6</w:t>
      </w:r>
      <w:r>
        <w:tab/>
      </w:r>
      <w:r>
        <w:t xml:space="preserve">Table 1. SDG indicators related to gender (N=181 countries)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2500"/>
        <w:tblLook w:firstRow="1" w:lastRow="0" w:firstColumn="0" w:lastColumn="0" w:noHBand="0" w:noVBand="1"/>
      </w:tblPr>
      <w:tr>
        <w:trPr>
          <w:trHeight w:val="574" w:hRule="auto"/>
          <w:tblHeader/>
        </w:trPr>
        header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Table 1. SDG Indicators related to Gender</w:t>
            </w:r>
          </w:p>
        </w:tc>
      </w:tr>
      <w:tr>
        <w:trPr>
          <w:trHeight w:val="617" w:hRule="auto"/>
          <w:tblHeader/>
        </w:trPr>
        header 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Goal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Indicator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Tier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Sub-Indicators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 Disaggregation Available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Any Data Available</w:t>
            </w:r>
          </w:p>
        </w:tc>
      </w:tr>
      <w:tr>
        <w:trPr>
          <w:trHeight w:val="617"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below international poverty line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69.6%</w:t>
            </w:r>
          </w:p>
        </w:tc>
      </w:tr>
      <w:tr>
        <w:trPr>
          <w:trHeight w:val="617"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Employed population below international poverty line,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617"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617"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men, women and children of all ages living in poverty in all its dimensions according to national definitions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in multidimensional poverty (%); /n Average proportion of deprivations for people multidimensionally poor (%); /n Proportion of children living in child-specific multidimensional poverty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35.9%</w:t>
            </w:r>
          </w:p>
        </w:tc>
      </w:tr>
      <w:tr>
        <w:trPr>
          <w:trHeight w:val="617"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covered by social protection floors/systems, by sex, distinguishing children, unemployed persons, older persons, persons with disabilities, pregnant women, newborns, work-injury victims and the poor and the vulnerable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[ILO] Proportion of population covered by at least one social protection benefit, by sex (%); /n [ILO] Proportion of mothers with newborns receiving maternity cash benefit (%); /n [ILO] Proportion of poor population receiving social assistance cash benefit, by sex (%); /n [ILO] Proportion of children/households receiving child/family cash benefit, by sex (%); /n [ILO] Proportion of unemployed persons receiving unemployment cash benefit, by sex (%); /n [ILO] Proportion of vulnerable population receiving social assistance cash benefit, by sex (%); /n [ILO] Proportion of employed population covered in the event of work injury, by sex (%); /n [ILO] Proportion of population covered by at least one social protection benefit, by sex (%); /n [ILO] Proportion of population with severe disabilities receiving disability cash benefit, by sex (%); /n [ILO] Proportion of population above statutory pensionable age receiving a pension,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98.3%</w:t>
            </w:r>
          </w:p>
        </w:tc>
      </w:tr>
      <w:tr>
        <w:trPr>
          <w:trHeight w:val="617"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total adult population with secure tenure rights to land, (a) with legally recognized documentation, and (b) who perceive their rights to land as secure, by sex and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with legally recognized documentation of their rights to land out of total adult population, by sex (%); /n Proportion of people who perceive their rights to land as secure out of total adult population, by sex (%); /n Proportion of people with secure tenure rights to land out of total adult population,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617"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Prevalence of anaemia in women aged 15 to 49 years, by pregnancy status (percentage)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with anaemia (%); /n Proportion of women aged 15-49 years with anaemia, pregnant (%); /n Proportion of women aged 15-49 years with anaemia, non-pregnant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629"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by sex and indigenous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PPP (constant 2017 international $); /n Average income of large-scale food producers, PPP (constant 2017 international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614"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97.8%</w:t>
            </w:r>
          </w:p>
        </w:tc>
      </w:tr>
      <w:tr>
        <w:trPr>
          <w:trHeight w:val="617"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trHeight w:val="617"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age and key populations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and age (per 1,000 uninfected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80.7%</w:t>
            </w:r>
          </w:p>
        </w:tc>
      </w:tr>
      <w:tr>
        <w:trPr>
          <w:trHeight w:val="617"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49.7%</w:t>
            </w:r>
          </w:p>
        </w:tc>
      </w:tr>
      <w:tr>
        <w:trPr>
          <w:trHeight w:val="617"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(aged 10-14 years; aged 15-19 years) per 1,000 women in that age group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(per 1,000 women aged 15-19 and 10-14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r>
      <w:tr>
        <w:trPr>
          <w:trHeight w:val="617"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 in grades 2/3; (b) at the end of primary; and (c) at the end of lower secondary achieving at least a minimum proficiency level in (i) reading and (ii) mathematics,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achieving a minimum proficiency level in reading and mathematics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w:t>
            </w:r>
          </w:p>
        </w:tc>
      </w:tr>
      <w:tr>
        <w:trPr>
          <w:trHeight w:val="617"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24-59 months who are developmentally on track in health, learning and psychosocial well-being,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36−59 months who are developmentally on track in at least three of the following domains: literacy-numeracy, physical development, social-emotional development, and learning (% of children aged 36-59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r>
      <w:tr>
        <w:trPr>
          <w:trHeight w:val="617"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85.1%</w:t>
            </w:r>
          </w:p>
        </w:tc>
      </w:tr>
      <w:tr>
        <w:trPr>
          <w:trHeight w:val="617"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of youth and adults in formal and non-formal education and training in the previous 12 months,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formal and non-formal education and training,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w:t>
            </w:r>
          </w:p>
        </w:tc>
      </w:tr>
      <w:tr>
        <w:trPr>
          <w:trHeight w:val="617"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Parity indices (female/male, rural/urban, bottom/top wealth quintile and others such as disability status, indigenous peoples and conflict-affected, as data become available) for all education indicators on this list that can be disaggregated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Adjusted gender parity index for participation rate in organized learning (one year before the official primary entry age), (ratio); /n Adjusted gender parity index for the proportion of teachers with the minimum required qualifications, by education level (ratio); /n Adjusted gender parity index for participation rate in formal and non-formal education and training (ratio); /n Gender parity index for youth/adults with information and communications technology (ICT) skills, by type of skill (ratio); /n Adjusted immigration status parity index for achieving at least a fixed level of proficiency in functional skills, by numeracy/literacy skills (ratio); /n Adjusted immigration status parity index for achieving a minimum proficiency level in reading and mathematics (ratio); /n Adjusted language test parity index for achieving a minimum proficiency level in reading and mathematics (ratio); /n Adjusted gender parity index for achieving a minimum proficiency level in reading and mathematics (ratio); /n Adjusted low to high socio-economic parity index for achieving a minimum proficiency level in reading and mathematics (ratio); /n Adjusted rural to urban parity index for achieving a minimum proficiency level in reading and mathematics (ratio); /n Adjusted location parity index for completion rate, by sex, wealth quintile and education level; /n Adjusted wealth parity index for completion rate, by sex, location and education level; /n Adjusted gender parity index for completion rate, by location, wealth quintile and education level; /n Adjusted gender parity index for achieving at least a fixed level of proficiency in functional skills, by numeracy/literacy skills (ratio); /n Adjusted low to high socio-economic parity status index for achieving at least a fixed level of proficiency in functional skills, by numeracy/literacy skills (ratio); /n Adjusted gender parity index for achieving at least a fixed level of proficiency in functional skills, by numeracy/literacy skills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98.3%</w:t>
            </w:r>
          </w:p>
        </w:tc>
      </w:tr>
      <w:tr>
        <w:trPr>
          <w:trHeight w:val="617"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in a given age group achieving at least a fixed level of proficiency in functional (a) literacy and (b) numeracy skills,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achieving at least a fixed level of proficiency in functional skills, by sex, age and type of skill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617" w:hRule="auto"/>
        </w:trPr>
        body20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Whether or not legal frameworks are in place to promote, enforce and monitor equality and non‑discrimination on the basis of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Legal frameworks that promote, enforce and monitor gender equality (percentage of achievement, 0 - 100) -- Area 4: marriage and family; /n Legal frameworks that promote, enforce and monitor gender equality (percentage of achievement, 0 - 100) -- Area 3: employment and economic benefits; /n Legal frameworks that promote, enforce and monitor gender equality (percentage of achievement, 0 - 100) -- Area 1: overarching legal frameworks and public life; /n Legal frameworks that promote, enforce and monitor gender equality (percentage of achievement, 0 - 100) --  Area 2: violence against women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52.5%</w:t>
            </w:r>
          </w:p>
        </w:tc>
      </w:tr>
      <w:tr>
        <w:trPr>
          <w:trHeight w:val="617"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aged 15 years and older subjected to physical, sexual or psychological violence by a current or former intimate partner in the previous 12 months, by form of violence and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subjected to physical and/or sexual violence by a current or former intimate partner in the previous 12 months,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81.8%</w:t>
            </w:r>
          </w:p>
        </w:tc>
      </w:tr>
      <w:tr>
        <w:trPr>
          <w:trHeight w:val="617"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and girls aged 15 years and older subjected to sexual violence by persons other than an intimate partner in the previous 12 months, by age and place of occurrence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15 and before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18 (%); /n Proportion of women aged 20-24 years who were married or in a union before age 15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44.2%</w:t>
            </w:r>
          </w:p>
        </w:tc>
      </w:tr>
      <w:tr>
        <w:trPr>
          <w:trHeight w:val="617"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617"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and care work, by sex, age and location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care work, by sex, age and location (%); /n Proportion of time spent on unpaid domestic chores, by sex, age and location (%); /n Proportion of time spent on unpaid domestic chores and care work, by sex, age and location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r>
      <w:tr>
        <w:trPr>
          <w:trHeight w:val="617"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(a) national parliaments and (b) local governments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seats held by women in national parliaments (number); /n Current number of seats in national parliaments (number); /n Proportion of seats held by women in national parliaments (% of total number of seats); /n Proportion of elected seats held by women in deliberative bodies of local government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98.3%</w:t>
            </w:r>
          </w:p>
        </w:tc>
      </w:tr>
      <w:tr>
        <w:trPr>
          <w:trHeight w:val="617"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managerial positions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managerial positions - 13th ICLS (%); /n Proportion of women in senior and middle management positions - 13th ICLS (%); /n Proportion of women in managerial positions - 19th ICLS (%); /n Proportion of women in senior and middle management positions - 19th ICLS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80.7%</w:t>
            </w:r>
          </w:p>
        </w:tc>
      </w:tr>
      <w:tr>
        <w:trPr>
          <w:trHeight w:val="617"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who make their own informed decisions regarding sexual relations, contraceptive use and reproductive health care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who make their own informed decisions regarding sexual relations, contraceptive use and reproductive health care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w:t>
            </w:r>
          </w:p>
        </w:tc>
      </w:tr>
      <w:tr>
        <w:trPr>
          <w:trHeight w:val="617"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countries with laws and regulations that guarantee full and equal access to women and men aged 15 years and older to sexual and reproductive health care, information and 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(S.1.C.1) Extent to which countries have laws and regulations that guarantee full and equal access to women and men aged 15 years and older to sexual and reproductive health care, information and education: Component 1: Maternity Care (%); /n (S.4.C.10) Extent to which countries have laws and regulations that guarantee full and equal access to women and men aged 15 years and older to sexual and reproductive health care, information and education: Component 10: HIV Counselling and Test Services; /n (S.4.C.11) Extent to which countries have laws and regulations that guarantee full and equal access to women and men aged 15 years and older to sexual and reproductive health care, information and education: Component 11: HIV Treatment and Care Services (%); /n (S.4.C.12) Extent to which countries have laws and regulations that guarantee full and equal access to women and men aged 15 years and older to sexual and reproductive health care, information and education: Component 12: HIV Confidentiality (%); /n (S.4.C.13) Extent to which countries have laws and regulations that guarantee full and equal access to women and men aged 15 years and older to sexual and reproductive health care, information and education: Component 13: HPV Vaccine (%); /n (S.1.C.2) Extent to which countries have laws and regulations that guarantee full and equal access to women and men aged 15 years and older to sexual and reproductive health care, information and education: Component 2: Life Saving Commodities (%); /n (S.1.C.3) Extent to which countries have laws and regulations that guarantee full and equal access to women and men aged 15 years and older to sexual and reproductive health care, information and education: Component 3: Abortion; /n (S.1.C.4) Extent to which countries have laws and regulations that guarantee full and equal access to women and men aged 15 years and older to sexual and reproductive health care, information and education: Component 4: Post-Abortion Care (%); /n (S.2.C.5) Extent to which countries have laws and regulations that guarantee full and equal access to women and men aged 15 years and older to sexual and reproductive health care, information and education: Component 5: Contraceptive Services (%); /n (S.2.C.6) Extent to which countries have laws and regulations that guarantee full and equal access to women and men aged 15 years and older to sexual and reproductive health care, information and education: Component 6: Contraceptive Consent (%); /n (S.2.C.7) Extent to which countries have laws and regulations that guarantee full and equal access to women and men aged 15 years and older to sexual and reproductive health care, information and education: Component 7: Emergency Contraception (%); /n (S.3.C.8) Extent to which countries have laws and regulations that guarantee full and equal access to women and men aged 15 years and older to sexual and reproductive health care, information and education: Component 8: Sexuality Education Curriculum Laws (%); /n (S.3.C.9) Extent to which countries have laws and regulations that guarantee full and equal access to women and men aged 15 years and older to sexual and reproductive health care, information and education: Component 9: Sexuality Education Curriculum Topics (%); /n (S.1) Extent to which countries have laws and regulations that guarantee full and equal access to women and men aged 15 years and older to sexual and reproductive health care, information and education: Section 1: Maternity Care (%); /n (S.2) Extent to which countries have laws and regulations that guarantee full and equal access to women and men aged 15 years and older to sexual and reproductive health care, information and education: Section 2: Contraceptive and Family Planning (%); /n (S.3) Extent to which countries have laws and regulations that guarantee full and equal access to women and men aged 15 years and older to sexual and reproductive health care, information and education: Section 3: Sexuality Education (%); /n (S.4) Extent to which countries have laws and regulations that guarantee full and equal access to women and men aged 15 years and older to sexual and reproductive health care, information and education: Section 4: HIV and HPV (%); /n Extent to which countries have laws and regulations that guarantee full and equal access to women and men aged 15 years and older to sexual and reproductive health care, information and education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r>
      <w:tr>
        <w:trPr>
          <w:trHeight w:val="617"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Proportion of total agricultural population with ownership or secure rights over agricultural land, by sex; and (b) share of women among owners or rights-bearers of agricultural land, by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women among owners or rights-bearers of agricultural land, by type of tenure (%); /n Proportion of total agricultural population with ownership or secure rights over agricultural land,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r>
      <w:tr>
        <w:trPr>
          <w:trHeight w:val="617"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where the legal framework (including customary law) guarantees women’s equal rights to land ownership and/or control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 to which the legal framework (including customary law) guarantees women’s equal rights to land ownership and/or control (1=No evidence to 6=Highest levels of guarantees)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r>
      <w:tr>
        <w:trPr>
          <w:trHeight w:val="617"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5.b.1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trHeight w:val="617"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5.c.1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 (%); /n Countries with systems to track and make public allocations for gender equality and women's empowerment (0 = does not meet the requirement; 1 = approached the requirement; 2  =  Fully meets requirement)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r>
      <w:tr>
        <w:trPr>
          <w:trHeight w:val="617" w:hRule="auto"/>
        </w:trPr>
        body34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in total employment, by sector and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by sector and sex - 13th ICLS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64.1%</w:t>
            </w:r>
          </w:p>
        </w:tc>
      </w:tr>
      <w:tr>
        <w:trPr>
          <w:trHeight w:val="617"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age, occupation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and occupation (local currency)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trHeight w:val="617"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and age - 13th ICLS (%); /n Unemployment rate, by sex and disability - 13th ICLS (%); /n Unemployment rate, by sex and age - 19th ICLS (%); /n Unemployment rate, by sex and disability - 19th ICLS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r>
      <w:tr>
        <w:trPr>
          <w:trHeight w:val="617"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and number of children aged 5-17 years engaged in child labour,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engaged in economic activity, by sex and age  (%); /n Proportion of children engaged in economic activity and household chores,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r>
      <w:tr>
        <w:trPr>
          <w:trHeight w:val="617"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Fatal and non-fatal occupational injuries per 100,000 workers,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Non-fatal occupational injuries among employees, by sex and migrant status (per 100,000 employees); /n Fatal occupational injuries among employees, by sex and migrant status (per 100,000 employees)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w:t>
            </w:r>
          </w:p>
        </w:tc>
      </w:tr>
      <w:tr>
        <w:trPr>
          <w:trHeight w:val="617"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95.6%</w:t>
            </w:r>
          </w:p>
        </w:tc>
      </w:tr>
      <w:tr>
        <w:trPr>
          <w:trHeight w:val="617" w:hRule="auto"/>
        </w:trPr>
        body40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 cent of median income,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percent of median income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69.1%</w:t>
            </w:r>
          </w:p>
        </w:tc>
      </w:tr>
      <w:tr>
        <w:trPr>
          <w:trHeight w:val="617" w:hRule="auto"/>
        </w:trPr>
        body41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that has convenient access to public transport,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that has convenient access to public transport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96.1%</w:t>
            </w:r>
          </w:p>
        </w:tc>
      </w:tr>
      <w:tr>
        <w:trPr>
          <w:trHeight w:val="617"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share of the built-up area of cities that is open space for public use for all,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share of the built-up area of cities that is open space for public use for all (%); /n Average share of urban population with convenient access to open public spaces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92.8%</w:t>
            </w:r>
          </w:p>
        </w:tc>
      </w:tr>
      <w:tr>
        <w:trPr>
          <w:trHeight w:val="617"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persons victim of non-sexual or sexual harassment, by sex, age, disability status and place of occurrence,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persons victim of non-sexual or sexual harassment, in the previous 12 months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trHeight w:val="617" w:hRule="auto"/>
        </w:trPr>
        body44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(victims per 100,000 population); /n Number of victims of intentional homicide, by sex (number)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75.1%</w:t>
            </w:r>
          </w:p>
        </w:tc>
      </w:tr>
      <w:tr>
        <w:trPr>
          <w:trHeight w:val="617" w:hRule="auto"/>
        </w:trPr>
        body45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Conflict-related deaths per 100,000 population, by sex, age and cause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conflict-related deaths (civilians), by sex, age and cause of death (Number); /n Number of total conflict-related deaths per 100,000 population (Per 100,000 population); /n Number of total conflict-related deaths, by sex, age and cause of death (Number); /n Number of conflict-related deaths (unknown), by sex, age and cause of death (Number); /n Number of conflict-related deaths (non-civilians), by sex, age and cause of death (Number); /n Conflict-related total death rate, by sex, age and cause of death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trHeight w:val="617"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(a) physical violence, (b) psychological violence and/or (c) sexual violence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robbery in the previous 12 months, by sex (%); /n Proportion of population subjected to sexual violence in the previous 12 months, by sex (%); /n Proportion of population subjected to physical violence in the previous 12 months, by sex (%); /n Proportion of population subjected to robbery in the previous 12 months, by sex (%); /n Proportion of population subjected to sexual violence in the previous 12 months, by sex (%); /n Proportion of population subjected to psychological violence in the previous 12 months, by sex (%); /n Proportion of population subjected to physical assault in the previous 12 months, by sex (%); /n Proportion of population subjected to sexual assault in the previous 12 months,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7" w:hRule="auto"/>
        </w:trPr>
        body47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human trafficking per 100,000 population, by sex, age and form of exploitation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Detected victims of human trafficking for forced labour, servitude and slavery, by age and sex (number); /n Detected victims of human trafficking for other purposes, by age and sex (number); /n Detected victims of human trafficking for removal of organ, by age and sex (number); /n Detected victims of human trafficking for sexual exploitation, by age and sex (number); /n Detected victims of human trafficking, by age and sex (number); /n Detected victims of human trafficking for forced labour, servitude and slavery, by age and sex (per 100,000 population); /n Detected victims of human trafficking for other purposes, by age and sex (per 100,000 population); /n Detected victims of human trafficking for removal of organ, by age and sex (per 100,000 population); /n Detected victims of human trafficking for sexual exploitation, by age and sex (per 100,000 population); /n Detected victims of human trafficking, by age and sex (per 100,000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r>
      <w:tr>
        <w:trPr>
          <w:trHeight w:val="617" w:hRule="auto"/>
        </w:trPr>
        body48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young women and men aged 18-29 years who experienced sexual violence by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aged 18-29 years who experienced sexual violence by age 18, by sex (% of population aged 18-29)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r>
      <w:tr>
        <w:trPr>
          <w:trHeight w:val="617"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Proportions of positions in national and local institutions, including (a) the legislatures; (b) the public service; and (c) the judiciary, compared to national distributions, by sex, age, persons with disabilities and population groups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chairs of permanent committees, by age sex and focus of the committee, Joint Committees; /n Ratio for female members of parliaments (Ratio of the proportion of women in parliament in the proportion of women in the national population with the age of eligibility as a lower bound boundary), Lower Chamber or Unicameral; /n Number of speakers in parliament, by age and sex , Lower Chamber or Unicameral; /n Number of chairs of permanent committees, by age sex and focus of the committee, Lower Chamber or Unicameral; /n Ratio for female members of parliaments (Ratio of the proportion of women in parliament in the proportion of women in the national population with the age of eligibility as a lower bound boundary), Upper Chamber; /n Number of speakers in parliament, by age and sex, Upper Chamber; /n Number of chairs of permanent committees, by age sex and focus of the committee, Upper Chamber; /n Ratio of young members in parliament (Ratio of the proportion of young members in parliament (age 45 or below) in the proportion of the national population (age 45 or below) with the age of eligibility as a lower bound boundary), Lower Chamber or Unicameral; /n Proportion of youth in parliament (age 45 or below), Lower Chamber or Unicameral (%); /n Number of youth in parliament (age 45 or below), Lower Chamber or Unicameral (Number); /n Ratio of young members in parliament (Ratio of the proportion of young members in parliament (age 45 or below) in the proportion of the national population (age 45 or below) with the age of eligibility as a lower bound boundary), Upper Chamber; /n Proportion of youth in parliament (age 45 or below), Upper Chamber (%); /n Number of youth in parliament (age 45 or below), Upper Chamber (Number); /n Proportions of positions in the public service compared to national distributions (ratio); /n Proportions of positions in the judiciary compared to national distributions (ratio); /n Proportions of positions in the judiciary compared to national distributions, Higher Courts (ratio); /n Proportions of positions in the judiciary compared to national distributions, Lower Courts (ratio); /n Proportions of positions in the judiciary compared to national distributions, Constitutional Court (ratio); /n Ratio for female members of parliaments (Ratio of the proportion of women in parliament in the proportion of women in the national population with the age of eligibility as a lower bound boundary), Lower Chamber or Unicameral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51.9%</w:t>
            </w:r>
          </w:p>
        </w:tc>
      </w:tr>
      <w:tr>
        <w:trPr>
          <w:trHeight w:val="617" w:hRule="auto"/>
        </w:trPr>
        body50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who believe decision-making is inclusive and responsive, by sex, age, disability and population group</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who believe decision-making is inclusive and responsive (%); /n Proportion of population who believe decision-making is inclusive (%); /n Proportion of population who believe decision-making is responsive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 UN.</w:t>
            </w:r>
          </w:p>
        </w:tc>
      </w:tr>
    </w:tbl>
    <w:bookmarkEnd w:id="37"/>
    <w:bookmarkStart w:id="41" w:name="X394dc207e91e26947a7fbed603aa8fb1514e184"/>
    <w:p>
      <w:pPr>
        <w:pStyle w:val="Heading2"/>
      </w:pPr>
      <w:r>
        <w:rPr>
          <w:rStyle w:val="SectionNumber"/>
        </w:rPr>
        <w:t xml:space="preserve">1.7</w:t>
      </w:r>
      <w:r>
        <w:tab/>
      </w:r>
      <w:r>
        <w:t xml:space="preserve">Figure 6. SDG gender indicators and SPI score (n=161 economies)</w:t>
      </w:r>
    </w:p>
    <w:p>
      <w:pPr>
        <w:pStyle w:val="FirstParagraph"/>
      </w:pPr>
      <w:r>
        <w:drawing>
          <wp:inline>
            <wp:extent cx="5334000" cy="3556000"/>
            <wp:effectExtent b="0" l="0" r="0" t="0"/>
            <wp:docPr descr="" title="" id="39" name="Picture"/>
            <a:graphic>
              <a:graphicData uri="http://schemas.openxmlformats.org/drawingml/2006/picture">
                <pic:pic>
                  <pic:nvPicPr>
                    <pic:cNvPr descr="plots/spiplt1-1.pn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bookmarkEnd w:id="41"/>
    <w:bookmarkStart w:id="45" w:name="X4b7d09318b95d1750902f22c1fa6d4b56b95d53"/>
    <w:p>
      <w:pPr>
        <w:pStyle w:val="Heading2"/>
      </w:pPr>
      <w:r>
        <w:rPr>
          <w:rStyle w:val="SectionNumber"/>
        </w:rPr>
        <w:t xml:space="preserve">1.8</w:t>
      </w:r>
      <w:r>
        <w:tab/>
      </w:r>
      <w:r>
        <w:t xml:space="preserve">Figure 7. SDG gender indicators and all SDG indicators (n=161 economies)</w:t>
      </w:r>
    </w:p>
    <w:p>
      <w:pPr>
        <w:pStyle w:val="FirstParagraph"/>
      </w:pPr>
      <w:r>
        <w:drawing>
          <wp:inline>
            <wp:extent cx="5334000" cy="3556000"/>
            <wp:effectExtent b="0" l="0" r="0" t="0"/>
            <wp:docPr descr="" title="" id="43" name="Picture"/>
            <a:graphic>
              <a:graphicData uri="http://schemas.openxmlformats.org/drawingml/2006/picture">
                <pic:pic>
                  <pic:nvPicPr>
                    <pic:cNvPr descr="plots/spiplt3-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bookmarkEnd w:id="45"/>
    <w:bookmarkStart w:id="49" w:name="X7177a278b59f2db21fead1459c47782640b47fb"/>
    <w:p>
      <w:pPr>
        <w:pStyle w:val="Heading2"/>
      </w:pPr>
      <w:r>
        <w:rPr>
          <w:rStyle w:val="SectionNumber"/>
        </w:rPr>
        <w:t xml:space="preserve">1.9</w:t>
      </w:r>
      <w:r>
        <w:tab/>
      </w:r>
      <w:r>
        <w:t xml:space="preserve">Figure 8: Top 15 Over/Under-Performers on Availability of Gender SDG Indicators as predicted by SPI in terms of number of additional SDG gender indicators</w:t>
      </w:r>
    </w:p>
    <w:p>
      <w:pPr>
        <w:pStyle w:val="FirstParagraph"/>
      </w:pPr>
      <w:r>
        <w:drawing>
          <wp:inline>
            <wp:extent cx="5334000" cy="3556000"/>
            <wp:effectExtent b="0" l="0" r="0" t="0"/>
            <wp:docPr descr="" title="" id="47" name="Picture"/>
            <a:graphic>
              <a:graphicData uri="http://schemas.openxmlformats.org/drawingml/2006/picture">
                <pic:pic>
                  <pic:nvPicPr>
                    <pic:cNvPr descr="plots/overperformers-1.png" id="48"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bookmarkEnd w:id="49"/>
    <w:bookmarkStart w:id="53" w:name="Xab40eba76e0b80696f22ab50e979bfd0366e275"/>
    <w:p>
      <w:pPr>
        <w:pStyle w:val="Heading2"/>
      </w:pPr>
      <w:r>
        <w:rPr>
          <w:rStyle w:val="SectionNumber"/>
        </w:rPr>
        <w:t xml:space="preserve">1.10</w:t>
      </w:r>
      <w:r>
        <w:tab/>
      </w:r>
      <w:r>
        <w:t xml:space="preserve">Figure 9: Top 15 Over/Under-Performers on Availability of Gender SDG Indicators as predicted by SPI in terms of percentage change in SDG gender indicators</w:t>
      </w:r>
    </w:p>
    <w:p>
      <w:pPr>
        <w:pStyle w:val="FirstParagraph"/>
      </w:pPr>
      <w:r>
        <w:drawing>
          <wp:inline>
            <wp:extent cx="5334000" cy="3556000"/>
            <wp:effectExtent b="0" l="0" r="0" t="0"/>
            <wp:docPr descr="" title="" id="51" name="Picture"/>
            <a:graphic>
              <a:graphicData uri="http://schemas.openxmlformats.org/drawingml/2006/picture">
                <pic:pic>
                  <pic:nvPicPr>
                    <pic:cNvPr descr="plots/overperformersb-1.pn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bookmarkEnd w:id="53"/>
    <w:bookmarkStart w:id="54" w:name="X683f7c4d381172fdec1db5e37e567d7c98fa554"/>
    <w:p>
      <w:pPr>
        <w:pStyle w:val="Heading2"/>
      </w:pPr>
      <w:r>
        <w:rPr>
          <w:rStyle w:val="SectionNumber"/>
        </w:rPr>
        <w:t xml:space="preserve">1.11</w:t>
      </w:r>
      <w:r>
        <w:tab/>
      </w:r>
      <w:r>
        <w:t xml:space="preserve">Table 2. Regression of availability of SDG gender indicators on country traits</w:t>
      </w:r>
    </w:p>
    <w:tbl>
      <w:tblPr>
        <w:tblStyle w:val="Table"/>
        <w:tblW w:type="pct" w:w="4890"/>
        <w:tblLook w:firstRow="1" w:lastRow="1" w:firstColumn="0" w:lastColumn="0" w:noHBand="0" w:noVBand="0" w:val="0020"/>
        <w:jc w:val="start"/>
        <w:tblLayout w:type="fixed"/>
      </w:tblPr>
      <w:tblGrid>
        <w:gridCol w:w="1918"/>
        <w:gridCol w:w="383"/>
        <w:gridCol w:w="488"/>
        <w:gridCol w:w="628"/>
        <w:gridCol w:w="1290"/>
        <w:gridCol w:w="1500"/>
        <w:gridCol w:w="1535"/>
      </w:tblGrid>
      <w:tr>
        <w:trPr>
          <w:tblHeader w:val="true"/>
        </w:trPr>
        <w:tc>
          <w:tcPr/>
          <w:p>
            <w:pPr>
              <w:pStyle w:val="Compact"/>
            </w:pPr>
          </w:p>
        </w:tc>
        <w:tc>
          <w:tcPr/>
          <w:p>
            <w:pPr>
              <w:pStyle w:val="Compact"/>
              <w:jc w:val="left"/>
            </w:pPr>
            <w:r>
              <w:t xml:space="preserve">SPI Only</w:t>
            </w:r>
          </w:p>
        </w:tc>
        <w:tc>
          <w:tcPr/>
          <w:p>
            <w:pPr>
              <w:pStyle w:val="Compact"/>
              <w:jc w:val="left"/>
            </w:pPr>
            <w:r>
              <w:t xml:space="preserve">Region Only</w:t>
            </w:r>
          </w:p>
        </w:tc>
        <w:tc>
          <w:tcPr/>
          <w:p>
            <w:pPr>
              <w:pStyle w:val="Compact"/>
              <w:jc w:val="left"/>
            </w:pPr>
            <w:r>
              <w:t xml:space="preserve">Region Excluded</w:t>
            </w:r>
          </w:p>
        </w:tc>
        <w:tc>
          <w:tcPr/>
          <w:p>
            <w:pPr>
              <w:pStyle w:val="Compact"/>
              <w:jc w:val="left"/>
            </w:pPr>
            <w:r>
              <w:t xml:space="preserve">All Explanatory Variables Included</w:t>
            </w:r>
          </w:p>
        </w:tc>
        <w:tc>
          <w:tcPr/>
          <w:p>
            <w:pPr>
              <w:pStyle w:val="Compact"/>
              <w:jc w:val="left"/>
            </w:pPr>
            <w:r>
              <w:t xml:space="preserve">All Explanatory Variables Included + GII</w:t>
            </w:r>
          </w:p>
        </w:tc>
        <w:tc>
          <w:tcPr/>
          <w:p>
            <w:pPr>
              <w:pStyle w:val="Compact"/>
              <w:jc w:val="left"/>
            </w:pPr>
            <w:r>
              <w:t xml:space="preserve">All Explanatory Variables Included + SIGI</w:t>
            </w:r>
          </w:p>
        </w:tc>
      </w:tr>
      <w:tr>
        <w:tc>
          <w:tcPr/>
          <w:p>
            <w:pPr>
              <w:pStyle w:val="Compact"/>
              <w:jc w:val="left"/>
            </w:pPr>
            <w:r>
              <w:t xml:space="preserve">(Intercept)</w:t>
            </w:r>
          </w:p>
        </w:tc>
        <w:tc>
          <w:tcPr/>
          <w:p>
            <w:pPr>
              <w:pStyle w:val="Compact"/>
              <w:jc w:val="left"/>
            </w:pPr>
            <w:r>
              <w:t xml:space="preserve">25.58***</w:t>
            </w:r>
          </w:p>
        </w:tc>
        <w:tc>
          <w:tcPr/>
          <w:p>
            <w:pPr>
              <w:pStyle w:val="Compact"/>
              <w:jc w:val="left"/>
            </w:pPr>
            <w:r>
              <w:t xml:space="preserve">38.09***</w:t>
            </w:r>
          </w:p>
        </w:tc>
        <w:tc>
          <w:tcPr/>
          <w:p>
            <w:pPr>
              <w:pStyle w:val="Compact"/>
              <w:jc w:val="left"/>
            </w:pPr>
            <w:r>
              <w:t xml:space="preserve">72.50***</w:t>
            </w:r>
          </w:p>
        </w:tc>
        <w:tc>
          <w:tcPr/>
          <w:p>
            <w:pPr>
              <w:pStyle w:val="Compact"/>
              <w:jc w:val="left"/>
            </w:pPr>
            <w:r>
              <w:t xml:space="preserve">63.49***</w:t>
            </w:r>
          </w:p>
        </w:tc>
        <w:tc>
          <w:tcPr/>
          <w:p>
            <w:pPr>
              <w:pStyle w:val="Compact"/>
              <w:jc w:val="left"/>
            </w:pPr>
            <w:r>
              <w:t xml:space="preserve">34.01*</w:t>
            </w:r>
          </w:p>
        </w:tc>
        <w:tc>
          <w:tcPr/>
          <w:p>
            <w:pPr>
              <w:pStyle w:val="Compact"/>
              <w:jc w:val="left"/>
            </w:pPr>
            <w:r>
              <w:t xml:space="preserve">54.35**</w:t>
            </w:r>
          </w:p>
        </w:tc>
      </w:tr>
      <w:tr>
        <w:tc>
          <w:tcPr/>
          <w:p>
            <w:pPr>
              <w:pStyle w:val="Compact"/>
            </w:pPr>
          </w:p>
        </w:tc>
        <w:tc>
          <w:tcPr/>
          <w:p>
            <w:pPr>
              <w:pStyle w:val="Compact"/>
              <w:jc w:val="left"/>
            </w:pPr>
            <w:r>
              <w:t xml:space="preserve">(3.09)</w:t>
            </w:r>
          </w:p>
        </w:tc>
        <w:tc>
          <w:tcPr/>
          <w:p>
            <w:pPr>
              <w:pStyle w:val="Compact"/>
              <w:jc w:val="left"/>
            </w:pPr>
            <w:r>
              <w:t xml:space="preserve">(2.10)</w:t>
            </w:r>
          </w:p>
        </w:tc>
        <w:tc>
          <w:tcPr/>
          <w:p>
            <w:pPr>
              <w:pStyle w:val="Compact"/>
              <w:jc w:val="left"/>
            </w:pPr>
            <w:r>
              <w:t xml:space="preserve">(11.37)</w:t>
            </w:r>
          </w:p>
        </w:tc>
        <w:tc>
          <w:tcPr/>
          <w:p>
            <w:pPr>
              <w:pStyle w:val="Compact"/>
              <w:jc w:val="left"/>
            </w:pPr>
            <w:r>
              <w:t xml:space="preserve">(12.24)</w:t>
            </w:r>
          </w:p>
        </w:tc>
        <w:tc>
          <w:tcPr/>
          <w:p>
            <w:pPr>
              <w:pStyle w:val="Compact"/>
              <w:jc w:val="left"/>
            </w:pPr>
            <w:r>
              <w:t xml:space="preserve">(16.88)</w:t>
            </w:r>
          </w:p>
        </w:tc>
        <w:tc>
          <w:tcPr/>
          <w:p>
            <w:pPr>
              <w:pStyle w:val="Compact"/>
              <w:jc w:val="left"/>
            </w:pPr>
            <w:r>
              <w:t xml:space="preserve">(18.95)</w:t>
            </w:r>
          </w:p>
        </w:tc>
      </w:tr>
      <w:tr>
        <w:tc>
          <w:tcPr/>
          <w:p>
            <w:pPr>
              <w:pStyle w:val="Compact"/>
              <w:jc w:val="left"/>
            </w:pPr>
            <w:r>
              <w:t xml:space="preserve">SPI Overall Score</w:t>
            </w:r>
          </w:p>
        </w:tc>
        <w:tc>
          <w:tcPr/>
          <w:p>
            <w:pPr>
              <w:pStyle w:val="Compact"/>
              <w:jc w:val="left"/>
            </w:pPr>
            <w:r>
              <w:t xml:space="preserve">0.25***</w:t>
            </w:r>
          </w:p>
        </w:tc>
        <w:tc>
          <w:tcPr/>
          <w:p>
            <w:pPr>
              <w:pStyle w:val="Compact"/>
            </w:pPr>
          </w:p>
        </w:tc>
        <w:tc>
          <w:tcPr/>
          <w:p>
            <w:pPr>
              <w:pStyle w:val="Compact"/>
              <w:jc w:val="left"/>
            </w:pPr>
            <w:r>
              <w:t xml:space="preserve">0.48***</w:t>
            </w:r>
          </w:p>
        </w:tc>
        <w:tc>
          <w:tcPr/>
          <w:p>
            <w:pPr>
              <w:pStyle w:val="Compact"/>
              <w:jc w:val="left"/>
            </w:pPr>
            <w:r>
              <w:t xml:space="preserve">0.54***</w:t>
            </w:r>
          </w:p>
        </w:tc>
        <w:tc>
          <w:tcPr/>
          <w:p>
            <w:pPr>
              <w:pStyle w:val="Compact"/>
              <w:jc w:val="left"/>
            </w:pPr>
            <w:r>
              <w:t xml:space="preserve">0.65***</w:t>
            </w:r>
          </w:p>
        </w:tc>
        <w:tc>
          <w:tcPr/>
          <w:p>
            <w:pPr>
              <w:pStyle w:val="Compact"/>
              <w:jc w:val="left"/>
            </w:pPr>
            <w:r>
              <w:t xml:space="preserve">0.62***</w:t>
            </w:r>
          </w:p>
        </w:tc>
      </w:tr>
      <w:tr>
        <w:tc>
          <w:tcPr/>
          <w:p>
            <w:pPr>
              <w:pStyle w:val="Compact"/>
            </w:pPr>
          </w:p>
        </w:tc>
        <w:tc>
          <w:tcPr/>
          <w:p>
            <w:pPr>
              <w:pStyle w:val="Compact"/>
              <w:jc w:val="left"/>
            </w:pPr>
            <w:r>
              <w:t xml:space="preserve">(0.04)</w:t>
            </w:r>
          </w:p>
        </w:tc>
        <w:tc>
          <w:tcPr/>
          <w:p>
            <w:pPr>
              <w:pStyle w:val="Compact"/>
            </w:pPr>
          </w:p>
        </w:tc>
        <w:tc>
          <w:tcPr/>
          <w:p>
            <w:pPr>
              <w:pStyle w:val="Compact"/>
              <w:jc w:val="left"/>
            </w:pPr>
            <w:r>
              <w:t xml:space="preserve">(0.07)</w:t>
            </w:r>
          </w:p>
        </w:tc>
        <w:tc>
          <w:tcPr/>
          <w:p>
            <w:pPr>
              <w:pStyle w:val="Compact"/>
              <w:jc w:val="left"/>
            </w:pPr>
            <w:r>
              <w:t xml:space="preserve">(0.06)</w:t>
            </w:r>
          </w:p>
        </w:tc>
        <w:tc>
          <w:tcPr/>
          <w:p>
            <w:pPr>
              <w:pStyle w:val="Compact"/>
              <w:jc w:val="left"/>
            </w:pPr>
            <w:r>
              <w:t xml:space="preserve">(0.07)</w:t>
            </w:r>
          </w:p>
        </w:tc>
        <w:tc>
          <w:tcPr/>
          <w:p>
            <w:pPr>
              <w:pStyle w:val="Compact"/>
              <w:jc w:val="left"/>
            </w:pPr>
            <w:r>
              <w:t xml:space="preserve">(0.09)</w:t>
            </w:r>
          </w:p>
        </w:tc>
      </w:tr>
      <w:tr>
        <w:tc>
          <w:tcPr/>
          <w:p>
            <w:pPr>
              <w:pStyle w:val="Compact"/>
              <w:jc w:val="left"/>
            </w:pPr>
            <w:r>
              <w:t xml:space="preserve">regionEurope &amp; Central Asia</w:t>
            </w:r>
          </w:p>
        </w:tc>
        <w:tc>
          <w:tcPr/>
          <w:p>
            <w:pPr>
              <w:pStyle w:val="Compact"/>
            </w:pPr>
          </w:p>
        </w:tc>
        <w:tc>
          <w:tcPr/>
          <w:p>
            <w:pPr>
              <w:pStyle w:val="Compact"/>
              <w:jc w:val="left"/>
            </w:pPr>
            <w:r>
              <w:t xml:space="preserve">5.91*</w:t>
            </w:r>
          </w:p>
        </w:tc>
        <w:tc>
          <w:tcPr/>
          <w:p>
            <w:pPr>
              <w:pStyle w:val="Compact"/>
            </w:pPr>
          </w:p>
        </w:tc>
        <w:tc>
          <w:tcPr/>
          <w:p>
            <w:pPr>
              <w:pStyle w:val="Compact"/>
              <w:jc w:val="left"/>
            </w:pPr>
            <w:r>
              <w:t xml:space="preserve">1.29</w:t>
            </w:r>
          </w:p>
        </w:tc>
        <w:tc>
          <w:tcPr/>
          <w:p>
            <w:pPr>
              <w:pStyle w:val="Compact"/>
              <w:jc w:val="left"/>
            </w:pPr>
            <w:r>
              <w:t xml:space="preserve">4.68*</w:t>
            </w:r>
          </w:p>
        </w:tc>
        <w:tc>
          <w:tcPr/>
          <w:p>
            <w:pPr>
              <w:pStyle w:val="Compact"/>
              <w:jc w:val="left"/>
            </w:pPr>
            <w:r>
              <w:t xml:space="preserve">2.17</w:t>
            </w:r>
          </w:p>
        </w:tc>
      </w:tr>
      <w:tr>
        <w:tc>
          <w:tcPr/>
          <w:p>
            <w:pPr>
              <w:pStyle w:val="Compact"/>
            </w:pPr>
          </w:p>
        </w:tc>
        <w:tc>
          <w:tcPr/>
          <w:p>
            <w:pPr>
              <w:pStyle w:val="Compact"/>
            </w:pPr>
          </w:p>
        </w:tc>
        <w:tc>
          <w:tcPr/>
          <w:p>
            <w:pPr>
              <w:pStyle w:val="Compact"/>
              <w:jc w:val="left"/>
            </w:pPr>
            <w:r>
              <w:t xml:space="preserve">(2.35)</w:t>
            </w:r>
          </w:p>
        </w:tc>
        <w:tc>
          <w:tcPr/>
          <w:p>
            <w:pPr>
              <w:pStyle w:val="Compact"/>
            </w:pPr>
          </w:p>
        </w:tc>
        <w:tc>
          <w:tcPr/>
          <w:p>
            <w:pPr>
              <w:pStyle w:val="Compact"/>
              <w:jc w:val="left"/>
            </w:pPr>
            <w:r>
              <w:t xml:space="preserve">(2.31)</w:t>
            </w:r>
          </w:p>
        </w:tc>
        <w:tc>
          <w:tcPr/>
          <w:p>
            <w:pPr>
              <w:pStyle w:val="Compact"/>
              <w:jc w:val="left"/>
            </w:pPr>
            <w:r>
              <w:t xml:space="preserve">(2.16)</w:t>
            </w:r>
          </w:p>
        </w:tc>
        <w:tc>
          <w:tcPr/>
          <w:p>
            <w:pPr>
              <w:pStyle w:val="Compact"/>
              <w:jc w:val="left"/>
            </w:pPr>
            <w:r>
              <w:t xml:space="preserve">(2.77)</w:t>
            </w:r>
          </w:p>
        </w:tc>
      </w:tr>
      <w:tr>
        <w:tc>
          <w:tcPr/>
          <w:p>
            <w:pPr>
              <w:pStyle w:val="Compact"/>
              <w:jc w:val="left"/>
            </w:pPr>
            <w:r>
              <w:t xml:space="preserve">regionLatin America &amp; Caribbean</w:t>
            </w:r>
          </w:p>
        </w:tc>
        <w:tc>
          <w:tcPr/>
          <w:p>
            <w:pPr>
              <w:pStyle w:val="Compact"/>
            </w:pPr>
          </w:p>
        </w:tc>
        <w:tc>
          <w:tcPr/>
          <w:p>
            <w:pPr>
              <w:pStyle w:val="Compact"/>
              <w:jc w:val="left"/>
            </w:pPr>
            <w:r>
              <w:t xml:space="preserve">6.79*</w:t>
            </w:r>
          </w:p>
        </w:tc>
        <w:tc>
          <w:tcPr/>
          <w:p>
            <w:pPr>
              <w:pStyle w:val="Compact"/>
            </w:pPr>
          </w:p>
        </w:tc>
        <w:tc>
          <w:tcPr/>
          <w:p>
            <w:pPr>
              <w:pStyle w:val="Compact"/>
              <w:jc w:val="left"/>
            </w:pPr>
            <w:r>
              <w:t xml:space="preserve">8.35***</w:t>
            </w:r>
          </w:p>
        </w:tc>
        <w:tc>
          <w:tcPr/>
          <w:p>
            <w:pPr>
              <w:pStyle w:val="Compact"/>
              <w:jc w:val="left"/>
            </w:pPr>
            <w:r>
              <w:t xml:space="preserve">7.97***</w:t>
            </w:r>
          </w:p>
        </w:tc>
        <w:tc>
          <w:tcPr/>
          <w:p>
            <w:pPr>
              <w:pStyle w:val="Compact"/>
              <w:jc w:val="left"/>
            </w:pPr>
            <w:r>
              <w:t xml:space="preserve">8.88**</w:t>
            </w:r>
          </w:p>
        </w:tc>
      </w:tr>
      <w:tr>
        <w:tc>
          <w:tcPr/>
          <w:p>
            <w:pPr>
              <w:pStyle w:val="Compact"/>
            </w:pPr>
          </w:p>
        </w:tc>
        <w:tc>
          <w:tcPr/>
          <w:p>
            <w:pPr>
              <w:pStyle w:val="Compact"/>
            </w:pPr>
          </w:p>
        </w:tc>
        <w:tc>
          <w:tcPr/>
          <w:p>
            <w:pPr>
              <w:pStyle w:val="Compact"/>
              <w:jc w:val="left"/>
            </w:pPr>
            <w:r>
              <w:t xml:space="preserve">(3.06)</w:t>
            </w:r>
          </w:p>
        </w:tc>
        <w:tc>
          <w:tcPr/>
          <w:p>
            <w:pPr>
              <w:pStyle w:val="Compact"/>
            </w:pPr>
          </w:p>
        </w:tc>
        <w:tc>
          <w:tcPr/>
          <w:p>
            <w:pPr>
              <w:pStyle w:val="Compact"/>
              <w:jc w:val="left"/>
            </w:pPr>
            <w:r>
              <w:t xml:space="preserve">(2.38)</w:t>
            </w:r>
          </w:p>
        </w:tc>
        <w:tc>
          <w:tcPr/>
          <w:p>
            <w:pPr>
              <w:pStyle w:val="Compact"/>
              <w:jc w:val="left"/>
            </w:pPr>
            <w:r>
              <w:t xml:space="preserve">(2.17)</w:t>
            </w:r>
          </w:p>
        </w:tc>
        <w:tc>
          <w:tcPr/>
          <w:p>
            <w:pPr>
              <w:pStyle w:val="Compact"/>
              <w:jc w:val="left"/>
            </w:pPr>
            <w:r>
              <w:t xml:space="preserve">(2.75)</w:t>
            </w:r>
          </w:p>
        </w:tc>
      </w:tr>
      <w:tr>
        <w:tc>
          <w:tcPr/>
          <w:p>
            <w:pPr>
              <w:pStyle w:val="Compact"/>
              <w:jc w:val="left"/>
            </w:pPr>
            <w:r>
              <w:t xml:space="preserve">regionMiddle East &amp; North Africa</w:t>
            </w:r>
          </w:p>
        </w:tc>
        <w:tc>
          <w:tcPr/>
          <w:p>
            <w:pPr>
              <w:pStyle w:val="Compact"/>
            </w:pPr>
          </w:p>
        </w:tc>
        <w:tc>
          <w:tcPr/>
          <w:p>
            <w:pPr>
              <w:pStyle w:val="Compact"/>
              <w:jc w:val="left"/>
            </w:pPr>
            <w:r>
              <w:t xml:space="preserve">-6.30*</w:t>
            </w:r>
          </w:p>
        </w:tc>
        <w:tc>
          <w:tcPr/>
          <w:p>
            <w:pPr>
              <w:pStyle w:val="Compact"/>
            </w:pPr>
          </w:p>
        </w:tc>
        <w:tc>
          <w:tcPr/>
          <w:p>
            <w:pPr>
              <w:pStyle w:val="Compact"/>
              <w:jc w:val="left"/>
            </w:pPr>
            <w:r>
              <w:t xml:space="preserve">1.38</w:t>
            </w:r>
          </w:p>
        </w:tc>
        <w:tc>
          <w:tcPr/>
          <w:p>
            <w:pPr>
              <w:pStyle w:val="Compact"/>
              <w:jc w:val="left"/>
            </w:pPr>
            <w:r>
              <w:t xml:space="preserve">2.43</w:t>
            </w:r>
          </w:p>
        </w:tc>
        <w:tc>
          <w:tcPr/>
          <w:p>
            <w:pPr>
              <w:pStyle w:val="Compact"/>
              <w:jc w:val="left"/>
            </w:pPr>
            <w:r>
              <w:t xml:space="preserve">0.29</w:t>
            </w:r>
          </w:p>
        </w:tc>
      </w:tr>
      <w:tr>
        <w:tc>
          <w:tcPr/>
          <w:p>
            <w:pPr>
              <w:pStyle w:val="Compact"/>
            </w:pPr>
          </w:p>
        </w:tc>
        <w:tc>
          <w:tcPr/>
          <w:p>
            <w:pPr>
              <w:pStyle w:val="Compact"/>
            </w:pPr>
          </w:p>
        </w:tc>
        <w:tc>
          <w:tcPr/>
          <w:p>
            <w:pPr>
              <w:pStyle w:val="Compact"/>
              <w:jc w:val="left"/>
            </w:pPr>
            <w:r>
              <w:t xml:space="preserve">(3.05)</w:t>
            </w:r>
          </w:p>
        </w:tc>
        <w:tc>
          <w:tcPr/>
          <w:p>
            <w:pPr>
              <w:pStyle w:val="Compact"/>
            </w:pPr>
          </w:p>
        </w:tc>
        <w:tc>
          <w:tcPr/>
          <w:p>
            <w:pPr>
              <w:pStyle w:val="Compact"/>
              <w:jc w:val="left"/>
            </w:pPr>
            <w:r>
              <w:t xml:space="preserve">(2.47)</w:t>
            </w:r>
          </w:p>
        </w:tc>
        <w:tc>
          <w:tcPr/>
          <w:p>
            <w:pPr>
              <w:pStyle w:val="Compact"/>
              <w:jc w:val="left"/>
            </w:pPr>
            <w:r>
              <w:t xml:space="preserve">(2.60)</w:t>
            </w:r>
          </w:p>
        </w:tc>
        <w:tc>
          <w:tcPr/>
          <w:p>
            <w:pPr>
              <w:pStyle w:val="Compact"/>
              <w:jc w:val="left"/>
            </w:pPr>
            <w:r>
              <w:t xml:space="preserve">(3.71)</w:t>
            </w:r>
          </w:p>
        </w:tc>
      </w:tr>
      <w:tr>
        <w:tc>
          <w:tcPr/>
          <w:p>
            <w:pPr>
              <w:pStyle w:val="Compact"/>
              <w:jc w:val="left"/>
            </w:pPr>
            <w:r>
              <w:t xml:space="preserve">regionNorth America</w:t>
            </w:r>
          </w:p>
        </w:tc>
        <w:tc>
          <w:tcPr/>
          <w:p>
            <w:pPr>
              <w:pStyle w:val="Compact"/>
            </w:pPr>
          </w:p>
        </w:tc>
        <w:tc>
          <w:tcPr/>
          <w:p>
            <w:pPr>
              <w:pStyle w:val="Compact"/>
              <w:jc w:val="left"/>
            </w:pPr>
            <w:r>
              <w:t xml:space="preserve">0.56</w:t>
            </w:r>
          </w:p>
        </w:tc>
        <w:tc>
          <w:tcPr/>
          <w:p>
            <w:pPr>
              <w:pStyle w:val="Compact"/>
            </w:pPr>
          </w:p>
        </w:tc>
        <w:tc>
          <w:tcPr/>
          <w:p>
            <w:pPr>
              <w:pStyle w:val="Compact"/>
              <w:jc w:val="left"/>
            </w:pPr>
            <w:r>
              <w:t xml:space="preserve">-3.56</w:t>
            </w:r>
          </w:p>
        </w:tc>
        <w:tc>
          <w:tcPr/>
          <w:p>
            <w:pPr>
              <w:pStyle w:val="Compact"/>
              <w:jc w:val="left"/>
            </w:pPr>
            <w:r>
              <w:t xml:space="preserve">-1.24</w:t>
            </w:r>
          </w:p>
        </w:tc>
        <w:tc>
          <w:tcPr/>
          <w:p>
            <w:pPr>
              <w:pStyle w:val="Compact"/>
              <w:jc w:val="left"/>
            </w:pPr>
            <w:r>
              <w:t xml:space="preserve">-3.19</w:t>
            </w:r>
          </w:p>
        </w:tc>
      </w:tr>
      <w:tr>
        <w:tc>
          <w:tcPr/>
          <w:p>
            <w:pPr>
              <w:pStyle w:val="Compact"/>
            </w:pPr>
          </w:p>
        </w:tc>
        <w:tc>
          <w:tcPr/>
          <w:p>
            <w:pPr>
              <w:pStyle w:val="Compact"/>
            </w:pPr>
          </w:p>
        </w:tc>
        <w:tc>
          <w:tcPr/>
          <w:p>
            <w:pPr>
              <w:pStyle w:val="Compact"/>
              <w:jc w:val="left"/>
            </w:pPr>
            <w:r>
              <w:t xml:space="preserve">(2.32)</w:t>
            </w:r>
          </w:p>
        </w:tc>
        <w:tc>
          <w:tcPr/>
          <w:p>
            <w:pPr>
              <w:pStyle w:val="Compact"/>
            </w:pPr>
          </w:p>
        </w:tc>
        <w:tc>
          <w:tcPr/>
          <w:p>
            <w:pPr>
              <w:pStyle w:val="Compact"/>
              <w:jc w:val="left"/>
            </w:pPr>
            <w:r>
              <w:t xml:space="preserve">(3.09)</w:t>
            </w:r>
          </w:p>
        </w:tc>
        <w:tc>
          <w:tcPr/>
          <w:p>
            <w:pPr>
              <w:pStyle w:val="Compact"/>
              <w:jc w:val="left"/>
            </w:pPr>
            <w:r>
              <w:t xml:space="preserve">(2.26)</w:t>
            </w:r>
          </w:p>
        </w:tc>
        <w:tc>
          <w:tcPr/>
          <w:p>
            <w:pPr>
              <w:pStyle w:val="Compact"/>
              <w:jc w:val="left"/>
            </w:pPr>
            <w:r>
              <w:t xml:space="preserve">(3.13)</w:t>
            </w:r>
          </w:p>
        </w:tc>
      </w:tr>
      <w:tr>
        <w:tc>
          <w:tcPr/>
          <w:p>
            <w:pPr>
              <w:pStyle w:val="Compact"/>
              <w:jc w:val="left"/>
            </w:pPr>
            <w:r>
              <w:t xml:space="preserve">regionSouth Asia</w:t>
            </w:r>
          </w:p>
        </w:tc>
        <w:tc>
          <w:tcPr/>
          <w:p>
            <w:pPr>
              <w:pStyle w:val="Compact"/>
            </w:pPr>
          </w:p>
        </w:tc>
        <w:tc>
          <w:tcPr/>
          <w:p>
            <w:pPr>
              <w:pStyle w:val="Compact"/>
              <w:jc w:val="left"/>
            </w:pPr>
            <w:r>
              <w:t xml:space="preserve">6.57+</w:t>
            </w:r>
          </w:p>
        </w:tc>
        <w:tc>
          <w:tcPr/>
          <w:p>
            <w:pPr>
              <w:pStyle w:val="Compact"/>
            </w:pPr>
          </w:p>
        </w:tc>
        <w:tc>
          <w:tcPr/>
          <w:p>
            <w:pPr>
              <w:pStyle w:val="Compact"/>
              <w:jc w:val="left"/>
            </w:pPr>
            <w:r>
              <w:t xml:space="preserve">8.34*</w:t>
            </w:r>
          </w:p>
        </w:tc>
        <w:tc>
          <w:tcPr/>
          <w:p>
            <w:pPr>
              <w:pStyle w:val="Compact"/>
              <w:jc w:val="left"/>
            </w:pPr>
            <w:r>
              <w:t xml:space="preserve">5.72</w:t>
            </w:r>
          </w:p>
        </w:tc>
        <w:tc>
          <w:tcPr/>
          <w:p>
            <w:pPr>
              <w:pStyle w:val="Compact"/>
              <w:jc w:val="left"/>
            </w:pPr>
            <w:r>
              <w:t xml:space="preserve">1.44</w:t>
            </w:r>
          </w:p>
        </w:tc>
      </w:tr>
      <w:tr>
        <w:tc>
          <w:tcPr/>
          <w:p>
            <w:pPr>
              <w:pStyle w:val="Compact"/>
            </w:pPr>
          </w:p>
        </w:tc>
        <w:tc>
          <w:tcPr/>
          <w:p>
            <w:pPr>
              <w:pStyle w:val="Compact"/>
            </w:pPr>
          </w:p>
        </w:tc>
        <w:tc>
          <w:tcPr/>
          <w:p>
            <w:pPr>
              <w:pStyle w:val="Compact"/>
              <w:jc w:val="left"/>
            </w:pPr>
            <w:r>
              <w:t xml:space="preserve">(3.36)</w:t>
            </w:r>
          </w:p>
        </w:tc>
        <w:tc>
          <w:tcPr/>
          <w:p>
            <w:pPr>
              <w:pStyle w:val="Compact"/>
            </w:pPr>
          </w:p>
        </w:tc>
        <w:tc>
          <w:tcPr/>
          <w:p>
            <w:pPr>
              <w:pStyle w:val="Compact"/>
              <w:jc w:val="left"/>
            </w:pPr>
            <w:r>
              <w:t xml:space="preserve">(3.47)</w:t>
            </w:r>
          </w:p>
        </w:tc>
        <w:tc>
          <w:tcPr/>
          <w:p>
            <w:pPr>
              <w:pStyle w:val="Compact"/>
              <w:jc w:val="left"/>
            </w:pPr>
            <w:r>
              <w:t xml:space="preserve">(3.51)</w:t>
            </w:r>
          </w:p>
        </w:tc>
        <w:tc>
          <w:tcPr/>
          <w:p>
            <w:pPr>
              <w:pStyle w:val="Compact"/>
              <w:jc w:val="left"/>
            </w:pPr>
            <w:r>
              <w:t xml:space="preserve">(3.60)</w:t>
            </w:r>
          </w:p>
        </w:tc>
      </w:tr>
      <w:tr>
        <w:tc>
          <w:tcPr/>
          <w:p>
            <w:pPr>
              <w:pStyle w:val="Compact"/>
              <w:jc w:val="left"/>
            </w:pPr>
            <w:r>
              <w:t xml:space="preserve">regionSub-Saharan Africa</w:t>
            </w:r>
          </w:p>
        </w:tc>
        <w:tc>
          <w:tcPr/>
          <w:p>
            <w:pPr>
              <w:pStyle w:val="Compact"/>
            </w:pPr>
          </w:p>
        </w:tc>
        <w:tc>
          <w:tcPr/>
          <w:p>
            <w:pPr>
              <w:pStyle w:val="Compact"/>
              <w:jc w:val="left"/>
            </w:pPr>
            <w:r>
              <w:t xml:space="preserve">4.46+</w:t>
            </w:r>
          </w:p>
        </w:tc>
        <w:tc>
          <w:tcPr/>
          <w:p>
            <w:pPr>
              <w:pStyle w:val="Compact"/>
            </w:pPr>
          </w:p>
        </w:tc>
        <w:tc>
          <w:tcPr/>
          <w:p>
            <w:pPr>
              <w:pStyle w:val="Compact"/>
              <w:jc w:val="left"/>
            </w:pPr>
            <w:r>
              <w:t xml:space="preserve">4.61+</w:t>
            </w:r>
          </w:p>
        </w:tc>
        <w:tc>
          <w:tcPr/>
          <w:p>
            <w:pPr>
              <w:pStyle w:val="Compact"/>
              <w:jc w:val="left"/>
            </w:pPr>
            <w:r>
              <w:t xml:space="preserve">2.67</w:t>
            </w:r>
          </w:p>
        </w:tc>
        <w:tc>
          <w:tcPr/>
          <w:p>
            <w:pPr>
              <w:pStyle w:val="Compact"/>
              <w:jc w:val="left"/>
            </w:pPr>
            <w:r>
              <w:t xml:space="preserve">5.41+</w:t>
            </w:r>
          </w:p>
        </w:tc>
      </w:tr>
      <w:tr>
        <w:tc>
          <w:tcPr/>
          <w:p>
            <w:pPr>
              <w:pStyle w:val="Compact"/>
            </w:pPr>
          </w:p>
        </w:tc>
        <w:tc>
          <w:tcPr/>
          <w:p>
            <w:pPr>
              <w:pStyle w:val="Compact"/>
            </w:pPr>
          </w:p>
        </w:tc>
        <w:tc>
          <w:tcPr/>
          <w:p>
            <w:pPr>
              <w:pStyle w:val="Compact"/>
              <w:jc w:val="left"/>
            </w:pPr>
            <w:r>
              <w:t xml:space="preserve">(2.59)</w:t>
            </w:r>
          </w:p>
        </w:tc>
        <w:tc>
          <w:tcPr/>
          <w:p>
            <w:pPr>
              <w:pStyle w:val="Compact"/>
            </w:pPr>
          </w:p>
        </w:tc>
        <w:tc>
          <w:tcPr/>
          <w:p>
            <w:pPr>
              <w:pStyle w:val="Compact"/>
              <w:jc w:val="left"/>
            </w:pPr>
            <w:r>
              <w:t xml:space="preserve">(2.39)</w:t>
            </w:r>
          </w:p>
        </w:tc>
        <w:tc>
          <w:tcPr/>
          <w:p>
            <w:pPr>
              <w:pStyle w:val="Compact"/>
              <w:jc w:val="left"/>
            </w:pPr>
            <w:r>
              <w:t xml:space="preserve">(2.62)</w:t>
            </w:r>
          </w:p>
        </w:tc>
        <w:tc>
          <w:tcPr/>
          <w:p>
            <w:pPr>
              <w:pStyle w:val="Compact"/>
              <w:jc w:val="left"/>
            </w:pPr>
            <w:r>
              <w:t xml:space="preserve">(3.05)</w:t>
            </w:r>
          </w:p>
        </w:tc>
      </w:tr>
      <w:tr>
        <w:tc>
          <w:tcPr/>
          <w:p>
            <w:pPr>
              <w:pStyle w:val="Compact"/>
              <w:jc w:val="left"/>
            </w:pPr>
            <w:r>
              <w:t xml:space="preserve">Log GDP per capita</w:t>
            </w:r>
          </w:p>
        </w:tc>
        <w:tc>
          <w:tcPr/>
          <w:p>
            <w:pPr>
              <w:pStyle w:val="Compact"/>
            </w:pPr>
          </w:p>
        </w:tc>
        <w:tc>
          <w:tcPr/>
          <w:p>
            <w:pPr>
              <w:pStyle w:val="Compact"/>
            </w:pPr>
          </w:p>
        </w:tc>
        <w:tc>
          <w:tcPr/>
          <w:p>
            <w:pPr>
              <w:pStyle w:val="Compact"/>
              <w:jc w:val="left"/>
            </w:pPr>
            <w:r>
              <w:t xml:space="preserve">-5.87***</w:t>
            </w:r>
          </w:p>
        </w:tc>
        <w:tc>
          <w:tcPr/>
          <w:p>
            <w:pPr>
              <w:pStyle w:val="Compact"/>
              <w:jc w:val="left"/>
            </w:pPr>
            <w:r>
              <w:t xml:space="preserve">-5.37***</w:t>
            </w:r>
          </w:p>
        </w:tc>
        <w:tc>
          <w:tcPr/>
          <w:p>
            <w:pPr>
              <w:pStyle w:val="Compact"/>
              <w:jc w:val="left"/>
            </w:pPr>
            <w:r>
              <w:t xml:space="preserve">-3.46**</w:t>
            </w:r>
          </w:p>
        </w:tc>
        <w:tc>
          <w:tcPr/>
          <w:p>
            <w:pPr>
              <w:pStyle w:val="Compact"/>
              <w:jc w:val="left"/>
            </w:pPr>
            <w:r>
              <w:t xml:space="preserve">-4.23**</w:t>
            </w:r>
          </w:p>
        </w:tc>
      </w:tr>
      <w:tr>
        <w:tc>
          <w:tcPr/>
          <w:p>
            <w:pPr>
              <w:pStyle w:val="Compact"/>
            </w:pPr>
          </w:p>
        </w:tc>
        <w:tc>
          <w:tcPr/>
          <w:p>
            <w:pPr>
              <w:pStyle w:val="Compact"/>
            </w:pPr>
          </w:p>
        </w:tc>
        <w:tc>
          <w:tcPr/>
          <w:p>
            <w:pPr>
              <w:pStyle w:val="Compact"/>
            </w:pPr>
          </w:p>
        </w:tc>
        <w:tc>
          <w:tcPr/>
          <w:p>
            <w:pPr>
              <w:pStyle w:val="Compact"/>
              <w:jc w:val="left"/>
            </w:pPr>
            <w:r>
              <w:t xml:space="preserve">(0.72)</w:t>
            </w:r>
          </w:p>
        </w:tc>
        <w:tc>
          <w:tcPr/>
          <w:p>
            <w:pPr>
              <w:pStyle w:val="Compact"/>
              <w:jc w:val="left"/>
            </w:pPr>
            <w:r>
              <w:t xml:space="preserve">(0.83)</w:t>
            </w:r>
          </w:p>
        </w:tc>
        <w:tc>
          <w:tcPr/>
          <w:p>
            <w:pPr>
              <w:pStyle w:val="Compact"/>
              <w:jc w:val="left"/>
            </w:pPr>
            <w:r>
              <w:t xml:space="preserve">(1.16)</w:t>
            </w:r>
          </w:p>
        </w:tc>
        <w:tc>
          <w:tcPr/>
          <w:p>
            <w:pPr>
              <w:pStyle w:val="Compact"/>
              <w:jc w:val="left"/>
            </w:pPr>
            <w:r>
              <w:t xml:space="preserve">(1.34)</w:t>
            </w:r>
          </w:p>
        </w:tc>
      </w:tr>
      <w:tr>
        <w:tc>
          <w:tcPr/>
          <w:p>
            <w:pPr>
              <w:pStyle w:val="Compact"/>
              <w:jc w:val="left"/>
            </w:pPr>
            <w:r>
              <w:t xml:space="preserve">Log Population</w:t>
            </w:r>
          </w:p>
        </w:tc>
        <w:tc>
          <w:tcPr/>
          <w:p>
            <w:pPr>
              <w:pStyle w:val="Compact"/>
            </w:pPr>
          </w:p>
        </w:tc>
        <w:tc>
          <w:tcPr/>
          <w:p>
            <w:pPr>
              <w:pStyle w:val="Compact"/>
            </w:pPr>
          </w:p>
        </w:tc>
        <w:tc>
          <w:tcPr/>
          <w:p>
            <w:pPr>
              <w:pStyle w:val="Compact"/>
              <w:jc w:val="left"/>
            </w:pPr>
            <w:r>
              <w:t xml:space="preserve">-0.70</w:t>
            </w:r>
          </w:p>
        </w:tc>
        <w:tc>
          <w:tcPr/>
          <w:p>
            <w:pPr>
              <w:pStyle w:val="Compact"/>
              <w:jc w:val="left"/>
            </w:pPr>
            <w:r>
              <w:t xml:space="preserve">-0.74</w:t>
            </w:r>
          </w:p>
        </w:tc>
        <w:tc>
          <w:tcPr/>
          <w:p>
            <w:pPr>
              <w:pStyle w:val="Compact"/>
              <w:jc w:val="left"/>
            </w:pPr>
            <w:r>
              <w:t xml:space="preserve">-1.04+</w:t>
            </w:r>
          </w:p>
        </w:tc>
        <w:tc>
          <w:tcPr/>
          <w:p>
            <w:pPr>
              <w:pStyle w:val="Compact"/>
              <w:jc w:val="left"/>
            </w:pPr>
            <w:r>
              <w:t xml:space="preserve">-0.66</w:t>
            </w:r>
          </w:p>
        </w:tc>
      </w:tr>
      <w:tr>
        <w:tc>
          <w:tcPr/>
          <w:p>
            <w:pPr>
              <w:pStyle w:val="Compact"/>
            </w:pPr>
          </w:p>
        </w:tc>
        <w:tc>
          <w:tcPr/>
          <w:p>
            <w:pPr>
              <w:pStyle w:val="Compact"/>
            </w:pPr>
          </w:p>
        </w:tc>
        <w:tc>
          <w:tcPr/>
          <w:p>
            <w:pPr>
              <w:pStyle w:val="Compact"/>
            </w:pPr>
          </w:p>
        </w:tc>
        <w:tc>
          <w:tcPr/>
          <w:p>
            <w:pPr>
              <w:pStyle w:val="Compact"/>
              <w:jc w:val="left"/>
            </w:pPr>
            <w:r>
              <w:t xml:space="preserve">(0.54)</w:t>
            </w:r>
          </w:p>
        </w:tc>
        <w:tc>
          <w:tcPr/>
          <w:p>
            <w:pPr>
              <w:pStyle w:val="Compact"/>
              <w:jc w:val="left"/>
            </w:pPr>
            <w:r>
              <w:t xml:space="preserve">(0.53)</w:t>
            </w:r>
          </w:p>
        </w:tc>
        <w:tc>
          <w:tcPr/>
          <w:p>
            <w:pPr>
              <w:pStyle w:val="Compact"/>
              <w:jc w:val="left"/>
            </w:pPr>
            <w:r>
              <w:t xml:space="preserve">(0.53)</w:t>
            </w:r>
          </w:p>
        </w:tc>
        <w:tc>
          <w:tcPr/>
          <w:p>
            <w:pPr>
              <w:pStyle w:val="Compact"/>
              <w:jc w:val="left"/>
            </w:pPr>
            <w:r>
              <w:t xml:space="preserve">(0.65)</w:t>
            </w:r>
          </w:p>
        </w:tc>
      </w:tr>
      <w:tr>
        <w:tc>
          <w:tcPr/>
          <w:p>
            <w:pPr>
              <w:pStyle w:val="Compact"/>
              <w:jc w:val="left"/>
            </w:pPr>
            <w:r>
              <w:t xml:space="preserve">Population under 1.5 million</w:t>
            </w:r>
          </w:p>
        </w:tc>
        <w:tc>
          <w:tcPr/>
          <w:p>
            <w:pPr>
              <w:pStyle w:val="Compact"/>
            </w:pPr>
          </w:p>
        </w:tc>
        <w:tc>
          <w:tcPr/>
          <w:p>
            <w:pPr>
              <w:pStyle w:val="Compact"/>
            </w:pPr>
          </w:p>
        </w:tc>
        <w:tc>
          <w:tcPr/>
          <w:p>
            <w:pPr>
              <w:pStyle w:val="Compact"/>
              <w:jc w:val="left"/>
            </w:pPr>
            <w:r>
              <w:t xml:space="preserve">-3.50</w:t>
            </w:r>
          </w:p>
        </w:tc>
        <w:tc>
          <w:tcPr/>
          <w:p>
            <w:pPr>
              <w:pStyle w:val="Compact"/>
              <w:jc w:val="left"/>
            </w:pPr>
            <w:r>
              <w:t xml:space="preserve">-3.33</w:t>
            </w:r>
          </w:p>
        </w:tc>
        <w:tc>
          <w:tcPr/>
          <w:p>
            <w:pPr>
              <w:pStyle w:val="Compact"/>
              <w:jc w:val="left"/>
            </w:pPr>
            <w:r>
              <w:t xml:space="preserve">-0.88</w:t>
            </w:r>
          </w:p>
        </w:tc>
        <w:tc>
          <w:tcPr/>
          <w:p>
            <w:pPr>
              <w:pStyle w:val="Compact"/>
              <w:jc w:val="left"/>
            </w:pPr>
            <w:r>
              <w:t xml:space="preserve">-1.59</w:t>
            </w:r>
          </w:p>
        </w:tc>
      </w:tr>
      <w:tr>
        <w:tc>
          <w:tcPr/>
          <w:p>
            <w:pPr>
              <w:pStyle w:val="Compact"/>
            </w:pPr>
          </w:p>
        </w:tc>
        <w:tc>
          <w:tcPr/>
          <w:p>
            <w:pPr>
              <w:pStyle w:val="Compact"/>
            </w:pPr>
          </w:p>
        </w:tc>
        <w:tc>
          <w:tcPr/>
          <w:p>
            <w:pPr>
              <w:pStyle w:val="Compact"/>
            </w:pPr>
          </w:p>
        </w:tc>
        <w:tc>
          <w:tcPr/>
          <w:p>
            <w:pPr>
              <w:pStyle w:val="Compact"/>
              <w:jc w:val="left"/>
            </w:pPr>
            <w:r>
              <w:t xml:space="preserve">(2.24)</w:t>
            </w:r>
          </w:p>
        </w:tc>
        <w:tc>
          <w:tcPr/>
          <w:p>
            <w:pPr>
              <w:pStyle w:val="Compact"/>
              <w:jc w:val="left"/>
            </w:pPr>
            <w:r>
              <w:t xml:space="preserve">(2.26)</w:t>
            </w:r>
          </w:p>
        </w:tc>
        <w:tc>
          <w:tcPr/>
          <w:p>
            <w:pPr>
              <w:pStyle w:val="Compact"/>
              <w:jc w:val="left"/>
            </w:pPr>
            <w:r>
              <w:t xml:space="preserve">(2.37)</w:t>
            </w:r>
          </w:p>
        </w:tc>
        <w:tc>
          <w:tcPr/>
          <w:p>
            <w:pPr>
              <w:pStyle w:val="Compact"/>
              <w:jc w:val="left"/>
            </w:pPr>
            <w:r>
              <w:t xml:space="preserve">(3.04)</w:t>
            </w:r>
          </w:p>
        </w:tc>
      </w:tr>
      <w:tr>
        <w:tc>
          <w:tcPr/>
          <w:p>
            <w:pPr>
              <w:pStyle w:val="Compact"/>
              <w:jc w:val="left"/>
            </w:pPr>
            <w:r>
              <w:t xml:space="preserve">Women Business and the Law Index Score (scale 1-100)</w:t>
            </w:r>
          </w:p>
        </w:tc>
        <w:tc>
          <w:tcPr/>
          <w:p>
            <w:pPr>
              <w:pStyle w:val="Compact"/>
            </w:pPr>
          </w:p>
        </w:tc>
        <w:tc>
          <w:tcPr/>
          <w:p>
            <w:pPr>
              <w:pStyle w:val="Compact"/>
            </w:pPr>
          </w:p>
        </w:tc>
        <w:tc>
          <w:tcPr/>
          <w:p>
            <w:pPr>
              <w:pStyle w:val="Compact"/>
              <w:jc w:val="left"/>
            </w:pPr>
            <w:r>
              <w:t xml:space="preserve">0.07</w:t>
            </w:r>
          </w:p>
        </w:tc>
        <w:tc>
          <w:tcPr/>
          <w:p>
            <w:pPr>
              <w:pStyle w:val="Compact"/>
              <w:jc w:val="left"/>
            </w:pPr>
            <w:r>
              <w:t xml:space="preserve">0.03</w:t>
            </w:r>
          </w:p>
        </w:tc>
        <w:tc>
          <w:tcPr/>
          <w:p>
            <w:pPr>
              <w:pStyle w:val="Compact"/>
              <w:jc w:val="left"/>
            </w:pPr>
            <w:r>
              <w:t xml:space="preserve">0.02</w:t>
            </w:r>
          </w:p>
        </w:tc>
        <w:tc>
          <w:tcPr/>
          <w:p>
            <w:pPr>
              <w:pStyle w:val="Compact"/>
              <w:jc w:val="left"/>
            </w:pPr>
            <w:r>
              <w:t xml:space="preserve">-0.13</w:t>
            </w:r>
          </w:p>
        </w:tc>
      </w:tr>
      <w:tr>
        <w:tc>
          <w:tcPr/>
          <w:p>
            <w:pPr>
              <w:pStyle w:val="Compact"/>
            </w:pPr>
          </w:p>
        </w:tc>
        <w:tc>
          <w:tcPr/>
          <w:p>
            <w:pPr>
              <w:pStyle w:val="Compact"/>
            </w:pPr>
          </w:p>
        </w:tc>
        <w:tc>
          <w:tcPr/>
          <w:p>
            <w:pPr>
              <w:pStyle w:val="Compact"/>
            </w:pPr>
          </w:p>
        </w:tc>
        <w:tc>
          <w:tcPr/>
          <w:p>
            <w:pPr>
              <w:pStyle w:val="Compact"/>
              <w:jc w:val="left"/>
            </w:pPr>
            <w:r>
              <w:t xml:space="preserve">(0.04)</w:t>
            </w:r>
          </w:p>
        </w:tc>
        <w:tc>
          <w:tcPr/>
          <w:p>
            <w:pPr>
              <w:pStyle w:val="Compact"/>
              <w:jc w:val="left"/>
            </w:pPr>
            <w:r>
              <w:t xml:space="preserve">(0.05)</w:t>
            </w:r>
          </w:p>
        </w:tc>
        <w:tc>
          <w:tcPr/>
          <w:p>
            <w:pPr>
              <w:pStyle w:val="Compact"/>
              <w:jc w:val="left"/>
            </w:pPr>
            <w:r>
              <w:t xml:space="preserve">(0.06)</w:t>
            </w:r>
          </w:p>
        </w:tc>
        <w:tc>
          <w:tcPr/>
          <w:p>
            <w:pPr>
              <w:pStyle w:val="Compact"/>
              <w:jc w:val="left"/>
            </w:pPr>
            <w:r>
              <w:t xml:space="preserve">(0.10)</w:t>
            </w:r>
          </w:p>
        </w:tc>
      </w:tr>
      <w:tr>
        <w:tc>
          <w:tcPr/>
          <w:p>
            <w:pPr>
              <w:pStyle w:val="Compact"/>
              <w:jc w:val="left"/>
            </w:pPr>
            <w:r>
              <w:t xml:space="preserve">Gender Inequality Index</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29.64***</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(8.09)</w:t>
            </w:r>
          </w:p>
        </w:tc>
        <w:tc>
          <w:tcPr/>
          <w:p>
            <w:pPr>
              <w:pStyle w:val="Compact"/>
            </w:pPr>
          </w:p>
        </w:tc>
      </w:tr>
      <w:tr>
        <w:tc>
          <w:tcPr/>
          <w:p>
            <w:pPr>
              <w:pStyle w:val="Compact"/>
              <w:jc w:val="left"/>
            </w:pPr>
            <w:r>
              <w:t xml:space="preserve">Social Institutions and Gender Index</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0.18+</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(0.10)</w:t>
            </w:r>
          </w:p>
        </w:tc>
      </w:tr>
      <w:tr>
        <w:tc>
          <w:tcPr/>
          <w:p>
            <w:pPr>
              <w:pStyle w:val="Compact"/>
              <w:jc w:val="left"/>
            </w:pPr>
            <w:r>
              <w:t xml:space="preserve">N</w:t>
            </w:r>
          </w:p>
        </w:tc>
        <w:tc>
          <w:tcPr/>
          <w:p>
            <w:pPr>
              <w:pStyle w:val="Compact"/>
              <w:jc w:val="left"/>
            </w:pPr>
            <w:r>
              <w:t xml:space="preserve">164</w:t>
            </w:r>
          </w:p>
        </w:tc>
        <w:tc>
          <w:tcPr/>
          <w:p>
            <w:pPr>
              <w:pStyle w:val="Compact"/>
              <w:jc w:val="left"/>
            </w:pPr>
            <w:r>
              <w:t xml:space="preserve">164</w:t>
            </w:r>
          </w:p>
        </w:tc>
        <w:tc>
          <w:tcPr/>
          <w:p>
            <w:pPr>
              <w:pStyle w:val="Compact"/>
              <w:jc w:val="left"/>
            </w:pPr>
            <w:r>
              <w:t xml:space="preserve">164</w:t>
            </w:r>
          </w:p>
        </w:tc>
        <w:tc>
          <w:tcPr/>
          <w:p>
            <w:pPr>
              <w:pStyle w:val="Compact"/>
              <w:jc w:val="left"/>
            </w:pPr>
            <w:r>
              <w:t xml:space="preserve">164</w:t>
            </w:r>
          </w:p>
        </w:tc>
        <w:tc>
          <w:tcPr/>
          <w:p>
            <w:pPr>
              <w:pStyle w:val="Compact"/>
              <w:jc w:val="left"/>
            </w:pPr>
            <w:r>
              <w:t xml:space="preserve">141</w:t>
            </w:r>
          </w:p>
        </w:tc>
        <w:tc>
          <w:tcPr/>
          <w:p>
            <w:pPr>
              <w:pStyle w:val="Compact"/>
              <w:jc w:val="left"/>
            </w:pPr>
            <w:r>
              <w:t xml:space="preserve">101</w:t>
            </w:r>
          </w:p>
        </w:tc>
      </w:tr>
      <w:tr>
        <w:tc>
          <w:tcPr/>
          <w:p>
            <w:pPr>
              <w:pStyle w:val="Compact"/>
              <w:jc w:val="left"/>
            </w:pPr>
            <w:r>
              <w:t xml:space="preserve">R Sq.</w:t>
            </w:r>
          </w:p>
        </w:tc>
        <w:tc>
          <w:tcPr/>
          <w:p>
            <w:pPr>
              <w:pStyle w:val="Compact"/>
              <w:jc w:val="left"/>
            </w:pPr>
            <w:r>
              <w:t xml:space="preserve">0.17</w:t>
            </w:r>
          </w:p>
        </w:tc>
        <w:tc>
          <w:tcPr/>
          <w:p>
            <w:pPr>
              <w:pStyle w:val="Compact"/>
              <w:jc w:val="left"/>
            </w:pPr>
            <w:r>
              <w:t xml:space="preserve">0.18</w:t>
            </w:r>
          </w:p>
        </w:tc>
        <w:tc>
          <w:tcPr/>
          <w:p>
            <w:pPr>
              <w:pStyle w:val="Compact"/>
              <w:jc w:val="left"/>
            </w:pPr>
            <w:r>
              <w:t xml:space="preserve">0.44</w:t>
            </w:r>
          </w:p>
        </w:tc>
        <w:tc>
          <w:tcPr/>
          <w:p>
            <w:pPr>
              <w:pStyle w:val="Compact"/>
              <w:jc w:val="left"/>
            </w:pPr>
            <w:r>
              <w:t xml:space="preserve">0.52</w:t>
            </w:r>
          </w:p>
        </w:tc>
        <w:tc>
          <w:tcPr/>
          <w:p>
            <w:pPr>
              <w:pStyle w:val="Compact"/>
              <w:jc w:val="left"/>
            </w:pPr>
            <w:r>
              <w:t xml:space="preserve">0.55</w:t>
            </w:r>
          </w:p>
        </w:tc>
        <w:tc>
          <w:tcPr/>
          <w:p>
            <w:pPr>
              <w:pStyle w:val="Compact"/>
              <w:jc w:val="left"/>
            </w:pPr>
            <w:r>
              <w:t xml:space="preserve">0.40</w:t>
            </w:r>
          </w:p>
        </w:tc>
      </w:tr>
      <w:tr>
        <w:tc>
          <w:tcPr>
            <w:gridSpan w:val="7"/>
          </w:tcPr>
          <w:p>
            <w:pPr>
              <w:pStyle w:val="Compact"/>
            </w:pPr>
          </w:p>
        </w:tc>
      </w:tr>
    </w:tbl>
    <w:bookmarkEnd w:id="54"/>
    <w:bookmarkEnd w:id="55"/>
    <w:bookmarkStart w:id="81" w:name="annex"/>
    <w:p>
      <w:pPr>
        <w:pStyle w:val="Heading1"/>
      </w:pPr>
      <w:r>
        <w:rPr>
          <w:rStyle w:val="SectionNumber"/>
        </w:rPr>
        <w:t xml:space="preserve">2</w:t>
      </w:r>
      <w:r>
        <w:tab/>
      </w:r>
      <w:r>
        <w:t xml:space="preserve">Annex</w:t>
      </w:r>
    </w:p>
    <w:bookmarkStart w:id="59" w:name="X5fe5eb8b9b0ecb1c4aebc75b0f2a6e03445c16f"/>
    <w:p>
      <w:pPr>
        <w:pStyle w:val="Heading2"/>
      </w:pPr>
      <w:r>
        <w:rPr>
          <w:rStyle w:val="SectionNumber"/>
        </w:rPr>
        <w:t xml:space="preserve">2.1</w:t>
      </w:r>
      <w:r>
        <w:tab/>
      </w:r>
      <w:r>
        <w:t xml:space="preserve">Figure A1.1. Availability of Tier 1 SDG gender indicators by region (N=181 countries)</w:t>
      </w:r>
    </w:p>
    <w:p>
      <w:pPr>
        <w:pStyle w:val="FirstParagraph"/>
      </w:pPr>
      <w:r>
        <w:drawing>
          <wp:inline>
            <wp:extent cx="5334000" cy="3556000"/>
            <wp:effectExtent b="0" l="0" r="0" t="0"/>
            <wp:docPr descr="" title="" id="57" name="Picture"/>
            <a:graphic>
              <a:graphicData uri="http://schemas.openxmlformats.org/drawingml/2006/picture">
                <pic:pic>
                  <pic:nvPicPr>
                    <pic:cNvPr descr="plots/avail_chart21-1.png" id="58"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bookmarkEnd w:id="59"/>
    <w:bookmarkStart w:id="63" w:name="X52c393c6ff53cc0c8c64a25635e529135faa329"/>
    <w:p>
      <w:pPr>
        <w:pStyle w:val="Heading2"/>
      </w:pPr>
      <w:r>
        <w:rPr>
          <w:rStyle w:val="SectionNumber"/>
        </w:rPr>
        <w:t xml:space="preserve">2.2</w:t>
      </w:r>
      <w:r>
        <w:tab/>
      </w:r>
      <w:r>
        <w:t xml:space="preserve">Figure A1.2. Availability of Tier 1 SDG gender indicators by income group (N=181 countries)</w:t>
      </w:r>
    </w:p>
    <w:p>
      <w:pPr>
        <w:pStyle w:val="FirstParagraph"/>
      </w:pPr>
      <w:r>
        <w:drawing>
          <wp:inline>
            <wp:extent cx="5334000" cy="3556000"/>
            <wp:effectExtent b="0" l="0" r="0" t="0"/>
            <wp:docPr descr="" title="" id="61" name="Picture"/>
            <a:graphic>
              <a:graphicData uri="http://schemas.openxmlformats.org/drawingml/2006/picture">
                <pic:pic>
                  <pic:nvPicPr>
                    <pic:cNvPr descr="plots/avail_chart22-1.png" id="62"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p>
    <w:bookmarkEnd w:id="63"/>
    <w:bookmarkStart w:id="67" w:name="X454687b828e4e4b08399769f153cd53181ff88d"/>
    <w:p>
      <w:pPr>
        <w:pStyle w:val="Heading2"/>
      </w:pPr>
      <w:r>
        <w:rPr>
          <w:rStyle w:val="SectionNumber"/>
        </w:rPr>
        <w:t xml:space="preserve">2.3</w:t>
      </w:r>
      <w:r>
        <w:tab/>
      </w:r>
      <w:r>
        <w:t xml:space="preserve">Figure A1.3. Availability of Tier 2 SDG gender indicators by region (N=181 countries)</w:t>
      </w:r>
    </w:p>
    <w:p>
      <w:pPr>
        <w:pStyle w:val="FirstParagraph"/>
      </w:pPr>
      <w:r>
        <w:drawing>
          <wp:inline>
            <wp:extent cx="5334000" cy="3556000"/>
            <wp:effectExtent b="0" l="0" r="0" t="0"/>
            <wp:docPr descr="" title="" id="65" name="Picture"/>
            <a:graphic>
              <a:graphicData uri="http://schemas.openxmlformats.org/drawingml/2006/picture">
                <pic:pic>
                  <pic:nvPicPr>
                    <pic:cNvPr descr="plots/avail_chart2-1.pn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bookmarkEnd w:id="67"/>
    <w:bookmarkStart w:id="71" w:name="Xbedc655cd643e12cea88060ac8a909353ba0ed5"/>
    <w:p>
      <w:pPr>
        <w:pStyle w:val="Heading2"/>
      </w:pPr>
      <w:r>
        <w:rPr>
          <w:rStyle w:val="SectionNumber"/>
        </w:rPr>
        <w:t xml:space="preserve">2.4</w:t>
      </w:r>
      <w:r>
        <w:tab/>
      </w:r>
      <w:r>
        <w:t xml:space="preserve">Figure A1.4. Availability of Tier 2 SDG gender indicators by income (N=181 countries)</w:t>
      </w:r>
    </w:p>
    <w:p>
      <w:pPr>
        <w:pStyle w:val="FirstParagraph"/>
      </w:pPr>
      <w:r>
        <w:drawing>
          <wp:inline>
            <wp:extent cx="5334000" cy="3556000"/>
            <wp:effectExtent b="0" l="0" r="0" t="0"/>
            <wp:docPr descr="" title="" id="69" name="Picture"/>
            <a:graphic>
              <a:graphicData uri="http://schemas.openxmlformats.org/drawingml/2006/picture">
                <pic:pic>
                  <pic:nvPicPr>
                    <pic:cNvPr descr="plots/avail_chart3-1.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bookmarkEnd w:id="71"/>
    <w:bookmarkStart w:id="75" w:name="Xf476f26faf2e8e93cb4b71a51a11ac86b366530"/>
    <w:p>
      <w:pPr>
        <w:pStyle w:val="Heading2"/>
      </w:pPr>
      <w:r>
        <w:rPr>
          <w:rStyle w:val="SectionNumber"/>
        </w:rPr>
        <w:t xml:space="preserve">2.5</w:t>
      </w:r>
      <w:r>
        <w:tab/>
      </w:r>
      <w:r>
        <w:t xml:space="preserve">Figure A1.5. Availability of SDG5 gender indicators by region (N=181 countries)</w:t>
      </w:r>
    </w:p>
    <w:p>
      <w:pPr>
        <w:pStyle w:val="FirstParagraph"/>
      </w:pPr>
      <w:r>
        <w:drawing>
          <wp:inline>
            <wp:extent cx="5334000" cy="3556000"/>
            <wp:effectExtent b="0" l="0" r="0" t="0"/>
            <wp:docPr descr="" title="" id="73" name="Picture"/>
            <a:graphic>
              <a:graphicData uri="http://schemas.openxmlformats.org/drawingml/2006/picture">
                <pic:pic>
                  <pic:nvPicPr>
                    <pic:cNvPr descr="plots/availabilitydat5pl-1.png" id="74" name="Picture"/>
                    <pic:cNvPicPr>
                      <a:picLocks noChangeArrowheads="1" noChangeAspect="1"/>
                    </pic:cNvPicPr>
                  </pic:nvPicPr>
                  <pic:blipFill>
                    <a:blip r:embed="rId72"/>
                    <a:stretch>
                      <a:fillRect/>
                    </a:stretch>
                  </pic:blipFill>
                  <pic:spPr bwMode="auto">
                    <a:xfrm>
                      <a:off x="0" y="0"/>
                      <a:ext cx="5334000" cy="3556000"/>
                    </a:xfrm>
                    <a:prstGeom prst="rect">
                      <a:avLst/>
                    </a:prstGeom>
                    <a:noFill/>
                    <a:ln w="9525">
                      <a:noFill/>
                      <a:headEnd/>
                      <a:tailEnd/>
                    </a:ln>
                  </pic:spPr>
                </pic:pic>
              </a:graphicData>
            </a:graphic>
          </wp:inline>
        </w:drawing>
      </w:r>
    </w:p>
    <w:bookmarkEnd w:id="75"/>
    <w:bookmarkStart w:id="79" w:name="Xb4363e3f63669f7d561bc35b7a8350de5e8f24a"/>
    <w:p>
      <w:pPr>
        <w:pStyle w:val="Heading2"/>
      </w:pPr>
      <w:r>
        <w:rPr>
          <w:rStyle w:val="SectionNumber"/>
        </w:rPr>
        <w:t xml:space="preserve">2.6</w:t>
      </w:r>
      <w:r>
        <w:tab/>
      </w:r>
      <w:r>
        <w:t xml:space="preserve">Figure A1.6. Availability of SDG5 gender indicators by income (N=181 countries)</w:t>
      </w:r>
    </w:p>
    <w:p>
      <w:pPr>
        <w:pStyle w:val="FirstParagraph"/>
      </w:pPr>
      <w:r>
        <w:drawing>
          <wp:inline>
            <wp:extent cx="5334000" cy="3556000"/>
            <wp:effectExtent b="0" l="0" r="0" t="0"/>
            <wp:docPr descr="" title="" id="77" name="Picture"/>
            <a:graphic>
              <a:graphicData uri="http://schemas.openxmlformats.org/drawingml/2006/picture">
                <pic:pic>
                  <pic:nvPicPr>
                    <pic:cNvPr descr="plots/avail_chart4-1.png" id="78" name="Picture"/>
                    <pic:cNvPicPr>
                      <a:picLocks noChangeArrowheads="1" noChangeAspect="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bookmarkEnd w:id="79"/>
    <w:bookmarkStart w:id="80" w:name="annex-3"/>
    <w:p>
      <w:pPr>
        <w:pStyle w:val="Heading2"/>
      </w:pPr>
      <w:r>
        <w:rPr>
          <w:rStyle w:val="SectionNumber"/>
        </w:rPr>
        <w:t xml:space="preserve">2.7</w:t>
      </w:r>
      <w:r>
        <w:tab/>
      </w:r>
      <w:r>
        <w:t xml:space="preserve">Annex 3</w:t>
      </w:r>
    </w:p>
    <w:p>
      <w:pPr>
        <w:pStyle w:val="SourceCode"/>
      </w:pPr>
      <w:r>
        <w:rPr>
          <w:rStyle w:val="VerbatimChar"/>
        </w:rPr>
        <w:t xml:space="preserve">## [1] "GDP per capita Correlations"</w:t>
      </w:r>
    </w:p>
    <w:p>
      <w:pPr>
        <w:pStyle w:val="SourceCode"/>
      </w:pPr>
      <w:r>
        <w:rPr>
          <w:rStyle w:val="VerbatimChar"/>
        </w:rPr>
        <w:t xml:space="preserve">## [1] "Log GDP per capita &amp; Gender SDG Availability: -0.12"</w:t>
      </w:r>
    </w:p>
    <w:p>
      <w:pPr>
        <w:pStyle w:val="SourceCode"/>
      </w:pPr>
      <w:r>
        <w:rPr>
          <w:rStyle w:val="VerbatimChar"/>
        </w:rPr>
        <w:t xml:space="preserve">## [1] "Log GDP per capita &amp; SPI Overall Score: `0.67***"</w:t>
      </w:r>
    </w:p>
    <w:p>
      <w:pPr>
        <w:pStyle w:val="SourceCode"/>
      </w:pPr>
      <w:r>
        <w:rPr>
          <w:rStyle w:val="VerbatimChar"/>
        </w:rPr>
        <w:t xml:space="preserve">## [1] "Log GDP per capita &amp; SPI Pillar 1 (Data use) Score: `0.42***"</w:t>
      </w:r>
    </w:p>
    <w:p>
      <w:pPr>
        <w:pStyle w:val="SourceCode"/>
      </w:pPr>
      <w:r>
        <w:rPr>
          <w:rStyle w:val="VerbatimChar"/>
        </w:rPr>
        <w:t xml:space="preserve">## [1] "Log GDP per capita &amp; SPI Pillar 2 (Data services) Score: 0.53***"</w:t>
      </w:r>
    </w:p>
    <w:p>
      <w:pPr>
        <w:pStyle w:val="SourceCode"/>
      </w:pPr>
      <w:r>
        <w:rPr>
          <w:rStyle w:val="VerbatimChar"/>
        </w:rPr>
        <w:t xml:space="preserve">## [1] "Log GDP per capita &amp; SPI Pillar 3 (Data products) Score: 0.06"</w:t>
      </w:r>
    </w:p>
    <w:p>
      <w:pPr>
        <w:pStyle w:val="SourceCode"/>
      </w:pPr>
      <w:r>
        <w:rPr>
          <w:rStyle w:val="VerbatimChar"/>
        </w:rPr>
        <w:t xml:space="preserve">## [1] "Log GDP per capita &amp; SPI Pillar 4 (Data sources) Score: 0.74***"</w:t>
      </w:r>
    </w:p>
    <w:p>
      <w:pPr>
        <w:pStyle w:val="SourceCode"/>
      </w:pPr>
      <w:r>
        <w:rPr>
          <w:rStyle w:val="VerbatimChar"/>
        </w:rPr>
        <w:t xml:space="preserve">## [1] "Log GDP per capita &amp; SPI Pillar 5 (Data infrastructure) Score: 0.7***"</w:t>
      </w:r>
    </w:p>
    <w:p>
      <w:pPr>
        <w:pStyle w:val="SourceCode"/>
      </w:pPr>
      <w:r>
        <w:rPr>
          <w:rStyle w:val="VerbatimChar"/>
        </w:rPr>
        <w:t xml:space="preserve">## [1] "SPI Correlations"</w:t>
      </w:r>
    </w:p>
    <w:p>
      <w:pPr>
        <w:pStyle w:val="SourceCode"/>
      </w:pPr>
      <w:r>
        <w:rPr>
          <w:rStyle w:val="VerbatimChar"/>
        </w:rPr>
        <w:t xml:space="preserve">## [1] "Gender SDG Availability &amp; SPI Overall Score: 0.5***"</w:t>
      </w:r>
    </w:p>
    <w:p>
      <w:pPr>
        <w:pStyle w:val="SourceCode"/>
      </w:pPr>
      <w:r>
        <w:rPr>
          <w:rStyle w:val="VerbatimChar"/>
        </w:rPr>
        <w:t xml:space="preserve">## [1] "Gender SDG Availability &amp; SPI Pillar 1 (Data use) Score: 0.52***"</w:t>
      </w:r>
    </w:p>
    <w:p>
      <w:pPr>
        <w:pStyle w:val="SourceCode"/>
      </w:pPr>
      <w:r>
        <w:rPr>
          <w:rStyle w:val="VerbatimChar"/>
        </w:rPr>
        <w:t xml:space="preserve">## [1] "Gender SDG Availability &amp; SPI Pillar 2 (Data services) Score: 0.48***"</w:t>
      </w:r>
    </w:p>
    <w:p>
      <w:pPr>
        <w:pStyle w:val="SourceCode"/>
      </w:pPr>
      <w:r>
        <w:rPr>
          <w:rStyle w:val="VerbatimChar"/>
        </w:rPr>
        <w:t xml:space="preserve">## [1] "Gender SDG Availability &amp; SPI Pillar 3 (Data products [Overall SDG Indicator availability]) Score: 0.68***"</w:t>
      </w:r>
    </w:p>
    <w:p>
      <w:pPr>
        <w:pStyle w:val="SourceCode"/>
      </w:pPr>
      <w:r>
        <w:rPr>
          <w:rStyle w:val="VerbatimChar"/>
        </w:rPr>
        <w:t xml:space="preserve">## [1] "Gender SDG Availability &amp; SPI Pillar 4 (Data sources) Score: 0.34***"</w:t>
      </w:r>
    </w:p>
    <w:p>
      <w:pPr>
        <w:pStyle w:val="SourceCode"/>
      </w:pPr>
      <w:r>
        <w:rPr>
          <w:rStyle w:val="VerbatimChar"/>
        </w:rPr>
        <w:t xml:space="preserve">## [1] "Gender SDG Availability &amp; SPI Pillar 5 (Data infrastructure) Score: 0.26***"</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Reproducibility Package for “Missing SDG Gender Indicators”</dc:title>
  <dc:creator>Kathleen Beegle, Umar Serajuddin, Brian Stacy, Divyanshi Wadhwa</dc:creator>
  <cp:keywords/>
  <dcterms:created xsi:type="dcterms:W3CDTF">2024-10-11T21:21:03Z</dcterms:created>
  <dcterms:modified xsi:type="dcterms:W3CDTF">2024-10-11T21:21:03Z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./bibliography.bib</vt:lpwstr>
  </property>
  <property fmtid="{D5CDD505-2E9C-101B-9397-08002B2CF9AE}" pid="4" name="date">
    <vt:lpwstr>2024-10-11</vt:lpwstr>
  </property>
  <property fmtid="{D5CDD505-2E9C-101B-9397-08002B2CF9AE}" pid="5" name="editor_options">
    <vt:lpwstr/>
  </property>
  <property fmtid="{D5CDD505-2E9C-101B-9397-08002B2CF9AE}" pid="6" name="mainfont">
    <vt:lpwstr>Arial</vt:lpwstr>
  </property>
  <property fmtid="{D5CDD505-2E9C-101B-9397-08002B2CF9AE}" pid="7" name="output">
    <vt:lpwstr/>
  </property>
</Properties>
</file>