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121.png" ContentType="image/png"/>
  <Override PartName="/word/media/rId100.png" ContentType="image/png"/>
  <Override PartName="/word/media/rId40.png" ContentType="image/png"/>
  <Override PartName="/word/media/rId43.png" ContentType="image/png"/>
  <Override PartName="/word/media/rId46.png" ContentType="image/png"/>
  <Override PartName="/word/media/rId49.png" ContentType="image/png"/>
  <Override PartName="/word/media/rId52.png" ContentType="image/png"/>
  <Override PartName="/word/media/rId55.png" ContentType="image/png"/>
  <Override PartName="/word/media/rId58.png" ContentType="image/png"/>
  <Override PartName="/word/media/rId61.png" ContentType="image/png"/>
  <Override PartName="/word/media/rId65.png" ContentType="image/png"/>
  <Override PartName="/word/media/rId68.png" ContentType="image/png"/>
  <Override PartName="/word/media/rId71.png" ContentType="image/png"/>
  <Override PartName="/word/media/rId74.png" ContentType="image/png"/>
  <Override PartName="/word/media/rId77.png" ContentType="image/png"/>
  <Override PartName="/word/media/rId80.png" ContentType="image/png"/>
  <Override PartName="/word/media/rId87.png" ContentType="image/png"/>
  <Override PartName="/word/media/rId91.png" ContentType="image/png"/>
  <Override PartName="/word/media/rId94.png" ContentType="image/png"/>
  <Override PartName="/word/media/rId108.png" ContentType="image/png"/>
  <Override PartName="/word/media/rId115.png" ContentType="image/png"/>
  <Override PartName="/word/media/rId118.png" ContentType="image/png"/>
  <Override PartName="/word/media/rId125.png" ContentType="image/png"/>
  <Override PartName="/word/media/rId129.png" ContentType="image/png"/>
  <Override PartName="/word/media/rId132.png" ContentType="image/png"/>
  <Override PartName="/word/media/rId21.png" ContentType="image/png"/>
  <Override PartName="/word/media/rId135.png" ContentType="image/png"/>
  <Override PartName="/word/media/rId26.png" ContentType="image/png"/>
  <Override PartName="/word/media/rId30.png" ContentType="image/png"/>
  <Override PartName="/word/media/rId33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Replication</w:t>
      </w:r>
      <w:r>
        <w:t xml:space="preserve"> </w:t>
      </w:r>
      <w:r>
        <w:t xml:space="preserve">package</w:t>
      </w:r>
      <w:r>
        <w:t xml:space="preserve"> </w:t>
      </w:r>
      <w:r>
        <w:t xml:space="preserve">for</w:t>
      </w:r>
      <w:r>
        <w:t xml:space="preserve"> </w:t>
      </w:r>
      <w:r>
        <w:t xml:space="preserve">Missing</w:t>
      </w:r>
      <w:r>
        <w:t xml:space="preserve"> </w:t>
      </w:r>
      <w:r>
        <w:t xml:space="preserve">Evidence:</w:t>
      </w:r>
      <w:r>
        <w:t xml:space="preserve"> </w:t>
      </w:r>
      <w:r>
        <w:t xml:space="preserve">Tracking</w:t>
      </w:r>
      <w:r>
        <w:t xml:space="preserve"> </w:t>
      </w:r>
      <w:r>
        <w:t xml:space="preserve">Academic</w:t>
      </w:r>
      <w:r>
        <w:t xml:space="preserve"> </w:t>
      </w:r>
      <w:r>
        <w:t xml:space="preserve">Data</w:t>
      </w:r>
      <w:r>
        <w:t xml:space="preserve"> </w:t>
      </w:r>
      <w:r>
        <w:t xml:space="preserve">Use</w:t>
      </w:r>
      <w:r>
        <w:t xml:space="preserve"> </w:t>
      </w:r>
      <w:r>
        <w:t xml:space="preserve">around</w:t>
      </w:r>
      <w:r>
        <w:t xml:space="preserve"> </w:t>
      </w:r>
      <w:r>
        <w:t xml:space="preserve">the</w:t>
      </w:r>
      <w:r>
        <w:t xml:space="preserve"> </w:t>
      </w:r>
      <w:r>
        <w:t xml:space="preserve">World</w:t>
      </w:r>
    </w:p>
    <w:p>
      <w:pPr>
        <w:pStyle w:val="Author"/>
      </w:pPr>
      <w:r>
        <w:t xml:space="preserve">Brian</w:t>
      </w:r>
      <w:r>
        <w:t xml:space="preserve"> </w:t>
      </w:r>
      <w:r>
        <w:t xml:space="preserve">Stacy,</w:t>
      </w:r>
      <w:r>
        <w:t xml:space="preserve"> </w:t>
      </w:r>
      <w:r>
        <w:t xml:space="preserve">Lucas</w:t>
      </w:r>
      <w:r>
        <w:t xml:space="preserve"> </w:t>
      </w:r>
      <w:r>
        <w:t xml:space="preserve">Kitzmuller,</w:t>
      </w:r>
      <w:r>
        <w:t xml:space="preserve"> </w:t>
      </w:r>
      <w:r>
        <w:t xml:space="preserve">Daniel</w:t>
      </w:r>
      <w:r>
        <w:t xml:space="preserve"> </w:t>
      </w:r>
      <w:r>
        <w:t xml:space="preserve">Mahler,</w:t>
      </w:r>
      <w:r>
        <w:t xml:space="preserve"> </w:t>
      </w:r>
      <w:r>
        <w:t xml:space="preserve">Umar</w:t>
      </w:r>
      <w:r>
        <w:t xml:space="preserve"> </w:t>
      </w:r>
      <w:r>
        <w:t xml:space="preserve">Serajuddin,</w:t>
      </w:r>
      <w:r>
        <w:t xml:space="preserve"> </w:t>
      </w:r>
      <w:r>
        <w:t xml:space="preserve">and</w:t>
      </w:r>
      <w:r>
        <w:t xml:space="preserve"> </w:t>
      </w:r>
      <w:r>
        <w:t xml:space="preserve">Xiaoyu</w:t>
      </w:r>
      <w:r>
        <w:t xml:space="preserve"> </w:t>
      </w:r>
      <w:r>
        <w:t xml:space="preserve">Wang</w:t>
      </w:r>
    </w:p>
    <w:p>
      <w:pPr>
        <w:pStyle w:val="Date"/>
      </w:pPr>
      <w:r>
        <w:t xml:space="preserve">2024-09-09</w:t>
      </w:r>
    </w:p>
    <w:bookmarkStart w:id="112" w:name="main-tables-and-figures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Main Tables and Figures</w:t>
      </w:r>
    </w:p>
    <w:bookmarkStart w:id="20" w:name="X06ffc6804eb51f2ba9d5d10047a18e8bc42f71a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Table 1. Summary Statistics of Article Corpus. 2000-2020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13"/>
        <w:gridCol w:w="3193"/>
        <w:gridCol w:w="2129"/>
        <w:gridCol w:w="2936"/>
        <w:gridCol w:w="1206"/>
        <w:gridCol w:w="2025"/>
      </w:tblGrid>
      <w:tr>
        <w:trPr>
          <w:trHeight w:val="617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Field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Published in Journal (1=yes)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Data Use (1=yes)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Country Identified (1=yes)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Articles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Share of Articles</w:t>
            </w:r>
          </w:p>
        </w:tc>
      </w:tr>
      <w:tr>
        <w:trPr>
          <w:trHeight w:val="60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Business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28,571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</w:t>
            </w:r>
          </w:p>
        </w:tc>
      </w:tr>
      <w:tr>
        <w:trPr>
          <w:trHeight w:val="60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Economics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62,241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</w:t>
            </w:r>
          </w:p>
        </w:tc>
      </w:tr>
      <w:tr>
        <w:trPr>
          <w:trHeight w:val="60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Medicine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840,920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81.0</w:t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Political Science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26,185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</w:t>
            </w:r>
          </w:p>
        </w:tc>
      </w:tr>
      <w:tr>
        <w:trPr>
          <w:trHeight w:val="614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Psychology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44,191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</w:t>
            </w:r>
          </w:p>
        </w:tc>
      </w:tr>
      <w:tr>
        <w:trPr>
          <w:trHeight w:val="617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Sociology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35,640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</w:t>
            </w:r>
          </w:p>
        </w:tc>
      </w:tr>
    </w:tbl>
    <w:bookmarkEnd w:id="20"/>
    <w:bookmarkStart w:id="24" w:name="X2510a4bd66a4349efa68c740c6a7e36a4cd2c33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Figure 1. Comparison of Human Classifications of Data Use to NLP Predictions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./figures/unnamed-chunk-3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figure-2.-article-examples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Figure 2. Article Examples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Article Example - No Data Use</w:t>
            </w:r>
          </w:p>
        </w:tc>
      </w:tr>
    </w:tbl>
    <w:p>
      <w:pPr>
        <w:pStyle w:val="ImageCaption"/>
      </w:pPr>
      <w:r>
        <w:t xml:space="preserve">Article Example - No Data Use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Article Example - Data Use</w:t>
            </w:r>
          </w:p>
        </w:tc>
      </w:tr>
    </w:tbl>
    <w:p>
      <w:pPr>
        <w:pStyle w:val="ImageCaption"/>
      </w:pPr>
      <w:r>
        <w:t xml:space="preserve">Article Example - Data Use</w:t>
      </w:r>
    </w:p>
    <w:bookmarkEnd w:id="25"/>
    <w:bookmarkStart w:id="29" w:name="Xcc8f13da8ee4dfe099c49c92e19db7ad32ac9b3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Figure 3. Number of Articles using Data by Country (2000-2020)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./figures/unnamed-chunk-5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6" w:name="X16988de0026f12ef3ed4faeb92598f324c86d98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Figure 4. Number of Articles Using Data by Income Group and Region</w:t>
      </w:r>
    </w:p>
    <w:p>
      <w:pPr>
        <w:pStyle w:val="FirstParagraph"/>
      </w:pPr>
      <w:r>
        <w:t xml:space="preserve">By Income Group</w:t>
      </w:r>
    </w:p>
    <w:p>
      <w:pPr>
        <w:pStyle w:val="BodyText"/>
      </w:pPr>
      <w:r>
        <w:drawing>
          <wp:inline>
            <wp:extent cx="5334000" cy="355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./figures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By region per million persons</w:t>
      </w:r>
    </w:p>
    <w:p>
      <w:pPr>
        <w:pStyle w:val="BodyText"/>
      </w:pPr>
      <w:r>
        <w:drawing>
          <wp:inline>
            <wp:extent cx="5334000" cy="3556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./figures/unnamed-chunk-7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64" w:name="X2292e3d0e94db9ee669ea2bf08a9d2c9a6fd20b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Figure 5. Relationship between Papers using Data and Development Outcomes</w:t>
      </w:r>
    </w:p>
    <w:p>
      <w:pPr>
        <w:pStyle w:val="FirstParagraph"/>
      </w:pPr>
      <w:r>
        <w:t xml:space="preserve">GDP per capita</w:t>
      </w:r>
    </w:p>
    <w:p>
      <w:pPr>
        <w:pStyle w:val="BodyText"/>
      </w:pPr>
      <w:r>
        <w:drawing>
          <wp:inline>
            <wp:extent cx="5334000" cy="2963333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./figures/unnamed-chunk-9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Population</w:t>
      </w:r>
    </w:p>
    <w:p>
      <w:pPr>
        <w:pStyle w:val="BodyText"/>
      </w:pPr>
      <w:r>
        <w:drawing>
          <wp:inline>
            <wp:extent cx="5334000" cy="2963333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./figures/unnamed-chunk-10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SPI Overall Score</w:t>
      </w:r>
    </w:p>
    <w:p>
      <w:pPr>
        <w:pStyle w:val="BodyText"/>
      </w:pPr>
      <w:r>
        <w:drawing>
          <wp:inline>
            <wp:extent cx="5334000" cy="2963333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./figures/unnamed-chunk-11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 Figure 5b. Relationship between Papers using Data for Articles Published in Journals with an Impact Factor &gt;=2 and Development Outcomes</w:t>
      </w:r>
    </w:p>
    <w:p>
      <w:pPr>
        <w:pStyle w:val="BodyText"/>
      </w:pPr>
      <w:r>
        <w:drawing>
          <wp:inline>
            <wp:extent cx="5334000" cy="8001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./figures/unnamed-chunk-12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0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8001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./figures/unnamed-chunk-12-2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0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8001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./figures/unnamed-chunk-12-3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0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80010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./figures/unnamed-chunk-12-4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0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8001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./figures/unnamed-chunk-12-5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0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8001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./figures/unnamed-chunk-12-6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0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83" w:name="Xf1e3c122962502c4ff393f2dae393f00fd4e441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Figure 5c. Relationship between Citations of Papers using Data and Development Outcomes</w:t>
      </w:r>
    </w:p>
    <w:p>
      <w:pPr>
        <w:pStyle w:val="FirstParagraph"/>
      </w:pPr>
      <w:r>
        <w:drawing>
          <wp:inline>
            <wp:extent cx="5334000" cy="80010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./figures/unnamed-chunk-13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0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80010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./figures/unnamed-chunk-13-2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0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8001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./figures/unnamed-chunk-13-3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0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80010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./figures/unnamed-chunk-13-4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0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8001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./figures/unnamed-chunk-13-5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0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8001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./figures/unnamed-chunk-13-6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0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Xc7f3b7c0a6f2998c9e254b24617e7a97454e687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Table 2. Relationships between Number of Papers Using Data and Statistical Performance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(4)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-12.41***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-10.66***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-3.96***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-3.57**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(1.17)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 GDP per capita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(0.08)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0.29***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(0.05)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 Overall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log(qual_papers + 1)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0.65***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(0.08)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 Data Sources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0.01*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(0.00)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0.852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 Adj.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0.849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330.7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346.3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</w:tr>
      <w:tr>
        <w:trPr>
          <w:trHeight w:val="360" w:hRule="auto"/>
        </w:trPr>
        body19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Std.Errors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Heteroskedasticity-robust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Heteroskedasticity-robust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Heteroskedasticity-robust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Heteroskedasticity-robust</w:t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Data from the World Bank's World Development Indicators (WDI) and SPI.  WDI series codes include NY.GDP.PCAP.PP.KD, SP.POP.TOTL, IQ.SPI.OVRL,IQ.SPI.PIL1,IQ.SPI.PIL2, IQ.SPI.PIL3, IQ.SPI.PIL4, IQ.SPI.PIL5.  Papers include all papers using data years 2000-2020.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***=0.001 level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**=0.01 level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*=0.05 level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+=0.1 level</w:t>
            </w:r>
          </w:p>
        </w:tc>
      </w:tr>
    </w:tbl>
    <w:bookmarkEnd w:id="84"/>
    <w:bookmarkStart w:id="85" w:name="X666ae6d953c8f9d6da89da584cfb61bec1a1527"/>
    <w:p>
      <w:pPr>
        <w:pStyle w:val="Heading2"/>
      </w:pPr>
      <w:r>
        <w:rPr>
          <w:rStyle w:val="SectionNumber"/>
        </w:rPr>
        <w:t xml:space="preserve">1.9</w:t>
      </w:r>
      <w:r>
        <w:tab/>
      </w:r>
      <w:r>
        <w:t xml:space="preserve">Table 2b. Relationships between Number of Papers Using Data Published in Top 500 journals by Impact Factor and Statistical Performance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(4)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-8.06***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-6.96***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-0.65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(1.82)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 GDP per capita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-0.02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(0.12)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(0.08)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 Overall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log(qual_papers + 1)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0.54***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(0.12)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 Data Sources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(0.01)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0.626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 Adj.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0.609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196.9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209.5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</w:tr>
      <w:tr>
        <w:trPr>
          <w:trHeight w:val="360" w:hRule="auto"/>
        </w:trPr>
        body19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Std.Errors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Heteroskedasticity-robust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Heteroskedasticity-robust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Heteroskedasticity-robust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Heteroskedasticity-robust</w:t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Data from the World Bank's World Development Indicators (WDI) and SPI.  WDI series codes include NY.GDP.PCAP.PP.KD, SP.POP.TOTL, IQ.SPI.OVRL,IQ.SPI.PIL1,IQ.SPI.PIL2, IQ.SPI.PIL3, IQ.SPI.PIL4, IQ.SPI.PIL5.  Papers include all papers using data years 2000-2020.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***=0.001 level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**=0.01 level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*=0.05 level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+=0.1 level</w:t>
            </w:r>
          </w:p>
        </w:tc>
      </w:tr>
    </w:tbl>
    <w:bookmarkEnd w:id="85"/>
    <w:bookmarkStart w:id="86" w:name="X07c53cabd1626b308eb67dce6c1544be76853e6"/>
    <w:p>
      <w:pPr>
        <w:pStyle w:val="Heading2"/>
      </w:pPr>
      <w:r>
        <w:rPr>
          <w:rStyle w:val="SectionNumber"/>
        </w:rPr>
        <w:t xml:space="preserve">1.10</w:t>
      </w:r>
      <w:r>
        <w:tab/>
      </w:r>
      <w:r>
        <w:t xml:space="preserve">Table 2c. Relationships between Number of Citations of Papers Using Data and Statistical Performance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(4)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-8.42***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-6.29***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(1.53)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 GDP per capita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(0.11)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0.18*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(0.07)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 Overall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log(qual_papers + 1)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0.71***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(0.10)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 Data Sources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0.01*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(0.01)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164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0.739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 Adj.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0.732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412.7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428.2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</w:tr>
      <w:tr>
        <w:trPr>
          <w:trHeight w:val="360" w:hRule="auto"/>
        </w:trPr>
        body19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Std.Errors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Heteroskedasticity-robust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Heteroskedasticity-robust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Heteroskedasticity-robust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Heteroskedasticity-robust</w:t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Data from the World Bank's World Development Indicators (WDI) and SPI.  WDI series codes include NY.GDP.PCAP.PP.KD, SP.POP.TOTL, IQ.SPI.OVRL,IQ.SPI.PIL1,IQ.SPI.PIL2, IQ.SPI.PIL3, IQ.SPI.PIL4, IQ.SPI.PIL5.  Papers include all papers using data years 2000-2020.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***=0.001 level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**=0.01 level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*=0.05 level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+=0.1 level</w:t>
            </w:r>
          </w:p>
        </w:tc>
      </w:tr>
    </w:tbl>
    <w:bookmarkEnd w:id="86"/>
    <w:bookmarkStart w:id="90" w:name="Xeb64ed1c8017ddfc9ba0a8b0eaf6d3bb480181f"/>
    <w:p>
      <w:pPr>
        <w:pStyle w:val="Heading2"/>
      </w:pPr>
      <w:r>
        <w:rPr>
          <w:rStyle w:val="SectionNumber"/>
        </w:rPr>
        <w:t xml:space="preserve">1.11</w:t>
      </w:r>
      <w:r>
        <w:tab/>
      </w:r>
      <w:r>
        <w:t xml:space="preserve">Figure 6. Relationship between Number of Papers Using Data and Data Sources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./figures/unnamed-chunk-17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7" w:name="Xcc7c33933a46ff716782ae767feb60ed7c46e0d"/>
    <w:p>
      <w:pPr>
        <w:pStyle w:val="Heading2"/>
      </w:pPr>
      <w:r>
        <w:rPr>
          <w:rStyle w:val="SectionNumber"/>
        </w:rPr>
        <w:t xml:space="preserve">1.12</w:t>
      </w:r>
      <w:r>
        <w:tab/>
      </w:r>
      <w:r>
        <w:t xml:space="preserve">Figure 7. Relationship between Data Use and Data Supply</w:t>
      </w:r>
    </w:p>
    <w:p>
      <w:pPr>
        <w:pStyle w:val="FirstParagraph"/>
      </w:pPr>
      <w:r>
        <w:t xml:space="preserve">a)Country Scatterplot</w:t>
      </w:r>
    </w:p>
    <w:p>
      <w:pPr>
        <w:pStyle w:val="BodyText"/>
      </w:pPr>
      <w:r>
        <w:drawing>
          <wp:inline>
            <wp:extent cx="5334000" cy="35560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./figures/unnamed-chunk-19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1"/>
        </w:numPr>
        <w:pStyle w:val="Compact"/>
      </w:pPr>
      <w:r>
        <w:t xml:space="preserve">Map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./figures/unnamed-chunk-20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98" w:name="X0c3e791a8a3552bae54b497cd5f0b549d9ecc1d"/>
    <w:p>
      <w:pPr>
        <w:pStyle w:val="Heading2"/>
      </w:pPr>
      <w:r>
        <w:rPr>
          <w:rStyle w:val="SectionNumber"/>
        </w:rPr>
        <w:t xml:space="preserve">1.13</w:t>
      </w:r>
      <w:r>
        <w:tab/>
      </w:r>
      <w:r>
        <w:t xml:space="preserve">Table 3. Data Deserts, Oases, Lakes, and Swamps by Region and Income Group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Data Desert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Data Oasis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Data Swamp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Data Lake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Number of countries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East Asia &amp; Pacific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29%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12%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6%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53%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Europe &amp; Central Asia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Latin America &amp; Caribbean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Middle East &amp; North Africa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North America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South Asia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Sub-Saharan Africa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Low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Lower middle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Upper middle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25%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24%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26%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25%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146</w:t>
            </w:r>
          </w:p>
        </w:tc>
      </w:tr>
    </w:tbl>
    <w:p>
      <w:pPr>
        <w:pStyle w:val="FirstParagraph"/>
      </w:pPr>
      <w:r>
        <w:t xml:space="preserve">Note: Share of countries within a region or income group that are classified as data deserts, oases, swamps, or lakes. For example, 29% of the 17 countries in East Asia &amp; Pacific are classified as data deserts.</w:t>
      </w:r>
    </w:p>
    <w:bookmarkEnd w:id="98"/>
    <w:bookmarkStart w:id="99" w:name="X4614c986f0609bd6eacff0b3997e9953da0cb76"/>
    <w:p>
      <w:pPr>
        <w:pStyle w:val="Heading2"/>
      </w:pPr>
      <w:r>
        <w:rPr>
          <w:rStyle w:val="SectionNumber"/>
        </w:rPr>
        <w:t xml:space="preserve">1.14</w:t>
      </w:r>
      <w:r>
        <w:tab/>
      </w:r>
      <w:r>
        <w:t xml:space="preserve">Table 4. Longitudinal Relationships between Number of Papers Using Data and Statistical Performance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(5)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(6)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 GDP per capita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0.62**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(0.22)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(0.37)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 Overall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 Overall Score (Extended Series)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 Data Sources Score (Extended Series)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0.00+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(0.00)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1974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0.958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 Adj.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0.954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 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 Within Adj.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1621.2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-280.9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-285.1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1548.5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2470.6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2409.0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Std.Errors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by: country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by: country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by: country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by: country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by: country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by: country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FE: country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</w:t>
            </w:r>
          </w:p>
        </w:tc>
      </w:tr>
      <w:tr>
        <w:trPr>
          <w:trHeight w:val="360" w:hRule="auto"/>
        </w:trPr>
        body21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FE: year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Data from the World Bank's World Development Indicators (WDI) and SPI.  WDI series codes include NY.GDP.PCAP.PP.KD, SP.POP.TOTL, IQ.SPI.OVRL,IQ.SPI.PIL1,IQ.SPI.PIL2, IQ.SPI.PIL3, IQ.SPI.PIL4, IQ.SPI.PIL5.  Papers include all papers using data years 2004-2019. SPI Extended Series data supplements SPI data with data from Statistical Capacity Indicator (SCI) to extend series back to 2004.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***=0.001 level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**=0.01 level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*=0.05 level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+=0.1 level</w:t>
            </w:r>
          </w:p>
        </w:tc>
      </w:tr>
    </w:tbl>
    <w:bookmarkEnd w:id="99"/>
    <w:bookmarkStart w:id="103" w:name="X5d7b6b0d1db7429b856e2b9ca17fc5b4b2c34b5"/>
    <w:p>
      <w:pPr>
        <w:pStyle w:val="Heading2"/>
      </w:pPr>
      <w:r>
        <w:rPr>
          <w:rStyle w:val="SectionNumber"/>
        </w:rPr>
        <w:t xml:space="preserve">1.15</w:t>
      </w:r>
      <w:r>
        <w:tab/>
      </w:r>
      <w:r>
        <w:t xml:space="preserve">Figure 8. Panel Relationships Between Number of Papers Using Data and Data Sources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./figures/panelplot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7" w:name="X7a1626fd7fe00a7a25cc1156e887237a87538aa"/>
    <w:p>
      <w:pPr>
        <w:pStyle w:val="Heading2"/>
      </w:pPr>
      <w:r>
        <w:rPr>
          <w:rStyle w:val="SectionNumber"/>
        </w:rPr>
        <w:t xml:space="preserve">1.16</w:t>
      </w:r>
      <w:r>
        <w:tab/>
      </w:r>
      <w:r>
        <w:t xml:space="preserve">Figure 9. Comparison Between All Papers Using Data and Non-Medical Papers Using Data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./figures/med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1" w:name="Xfc6c627f4881713a193f3cf5160e66f002f940e"/>
    <w:p>
      <w:pPr>
        <w:pStyle w:val="Heading2"/>
      </w:pPr>
      <w:r>
        <w:rPr>
          <w:rStyle w:val="SectionNumber"/>
        </w:rPr>
        <w:t xml:space="preserve">1.17</w:t>
      </w:r>
      <w:r>
        <w:tab/>
      </w:r>
      <w:r>
        <w:t xml:space="preserve">Figure 10. Correlation in Papers Using Data Across Subjects. 2000-2020.</w:t>
      </w:r>
    </w:p>
    <w:p>
      <w:pPr>
        <w:pStyle w:val="FirstParagraph"/>
      </w:pPr>
      <w:r>
        <w:drawing>
          <wp:inline>
            <wp:extent cx="5334000" cy="426719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./figures/unnamed-chunk-23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End w:id="112"/>
    <w:bookmarkStart w:id="140" w:name="appendix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Appendix</w:t>
      </w:r>
    </w:p>
    <w:bookmarkStart w:id="113" w:name="X2500ce08020b5d8cebc75a71d75b8bb54e9fc43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Table A.1. Country Scores on Academic Data Use per capita. Year 2019.</w:t>
      </w:r>
    </w:p>
    <w:p>
      <w:pPr>
        <w:pStyle w:val="FirstParagraph"/>
      </w:pPr>
      <w:r>
        <w:t xml:space="preserve">Countries shaded in dark orange have the lowest numbers of data use articles, countries in dark green have the highest Countries are grouped into five groups: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Top Quintile</w:t>
      </w:r>
      <w:r>
        <w:t xml:space="preserve">: Countries in the Top quintile are classified in this group. Shading in</w:t>
      </w:r>
      <w:r>
        <w:t xml:space="preserve"> </w:t>
      </w:r>
      <w:r>
        <w:t xml:space="preserve">dark green</w:t>
      </w:r>
      <w:r>
        <w:t xml:space="preserve">.</w:t>
      </w:r>
      <w:r>
        <w:br/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4th Quintile</w:t>
      </w:r>
      <w:r>
        <w:t xml:space="preserve">: Countries in the 4th quintile, or those above the 60th percentile but below the 80th percentile are in this group. Shading in</w:t>
      </w:r>
      <w:r>
        <w:t xml:space="preserve"> </w:t>
      </w:r>
      <w:r>
        <w:t xml:space="preserve">light green</w:t>
      </w:r>
      <w:r>
        <w:t xml:space="preserve">.</w:t>
      </w:r>
      <w:r>
        <w:br/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3rd Quintile</w:t>
      </w:r>
      <w:r>
        <w:t xml:space="preserve">: Countries in the 3rd quintile, or those between the 40th and 60th percentile, are classified in this group. Shading in</w:t>
      </w:r>
      <w:r>
        <w:t xml:space="preserve"> </w:t>
      </w:r>
      <w:r>
        <w:t xml:space="preserve">yellow</w:t>
      </w:r>
      <w:r>
        <w:t xml:space="preserve">.</w:t>
      </w:r>
      <w:r>
        <w:br/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2nd Quintile</w:t>
      </w:r>
      <w:r>
        <w:t xml:space="preserve">: Countries in the 2nd quintile, or those above the 20th percentile but below the 40th percentile, are in this group. Shading in</w:t>
      </w:r>
      <w:r>
        <w:t xml:space="preserve"> </w:t>
      </w:r>
      <w:r>
        <w:t xml:space="preserve">light orange</w:t>
      </w:r>
      <w:r>
        <w:t xml:space="preserve">.</w:t>
      </w:r>
      <w:r>
        <w:br/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Bottom 20%</w:t>
      </w:r>
      <w:r>
        <w:t xml:space="preserve">: Countries in the bottom 20% are classified in this group. Shading in</w:t>
      </w:r>
      <w:r>
        <w:t xml:space="preserve"> </w:t>
      </w:r>
      <w:r>
        <w:t xml:space="preserve">dark orange</w:t>
      </w:r>
      <w:r>
        <w:t xml:space="preserve"> </w:t>
      </w:r>
      <w:r>
        <w:t xml:space="preserve">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70"/>
        <w:gridCol w:w="4116"/>
        <w:gridCol w:w="3847"/>
      </w:tblGrid>
      <w:tr>
        <w:trPr>
          <w:trHeight w:val="617" w:hRule="auto"/>
          <w:tblHeader/>
        </w:trPr>
        header 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Country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Articles using data per million persons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 Number of Articles using data</w:t>
            </w:r>
          </w:p>
        </w:tc>
      </w:tr>
      <w:tr>
        <w:trPr>
          <w:trHeight w:val="572" w:hRule="auto"/>
        </w:trPr>
        body 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New Zealand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</w:tr>
      <w:tr>
        <w:trPr>
          <w:trHeight w:val="614" w:hRule="auto"/>
        </w:trPr>
        body 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Norway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98</w:t>
            </w:r>
          </w:p>
        </w:tc>
      </w:tr>
      <w:tr>
        <w:trPr>
          <w:trHeight w:val="571" w:hRule="auto"/>
        </w:trPr>
        body 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Ireland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</w:t>
            </w:r>
          </w:p>
        </w:tc>
      </w:tr>
      <w:tr>
        <w:trPr>
          <w:trHeight w:val="571" w:hRule="auto"/>
        </w:trPr>
        body 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</w:tr>
      <w:tr>
        <w:trPr>
          <w:trHeight w:val="574" w:hRule="auto"/>
        </w:trPr>
        body 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129</w:t>
            </w:r>
          </w:p>
        </w:tc>
      </w:tr>
      <w:tr>
        <w:trPr>
          <w:trHeight w:val="572" w:hRule="auto"/>
        </w:trPr>
        body 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Australia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337</w:t>
            </w:r>
          </w:p>
        </w:tc>
      </w:tr>
      <w:tr>
        <w:trPr>
          <w:trHeight w:val="571" w:hRule="auto"/>
        </w:trPr>
        body 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</w:t>
            </w:r>
          </w:p>
        </w:tc>
      </w:tr>
      <w:tr>
        <w:trPr>
          <w:trHeight w:val="617" w:hRule="auto"/>
        </w:trPr>
        body 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Singapore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</w:t>
            </w:r>
          </w:p>
        </w:tc>
      </w:tr>
      <w:tr>
        <w:trPr>
          <w:trHeight w:val="571" w:hRule="auto"/>
        </w:trPr>
        body 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Estonia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</w:tr>
      <w:tr>
        <w:trPr>
          <w:trHeight w:val="574" w:hRule="auto"/>
        </w:trPr>
        body 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Switzerland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</w:tr>
      <w:tr>
        <w:trPr>
          <w:trHeight w:val="572" w:hRule="auto"/>
        </w:trPr>
        body 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183</w:t>
            </w:r>
          </w:p>
        </w:tc>
      </w:tr>
      <w:tr>
        <w:trPr>
          <w:trHeight w:val="617" w:hRule="auto"/>
        </w:trPr>
        body 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Hong Kong SAR, China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</w:t>
            </w:r>
          </w:p>
        </w:tc>
      </w:tr>
      <w:tr>
        <w:trPr>
          <w:trHeight w:val="574" w:hRule="auto"/>
        </w:trPr>
        body 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Slovenia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trHeight w:val="617" w:hRule="auto"/>
        </w:trPr>
        body 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Cyprus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74" w:hRule="auto"/>
        </w:trPr>
        body 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289</w:t>
            </w:r>
          </w:p>
        </w:tc>
      </w:tr>
      <w:tr>
        <w:trPr>
          <w:trHeight w:val="617" w:hRule="auto"/>
        </w:trPr>
        body 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Georgia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</w:tr>
      <w:tr>
        <w:trPr>
          <w:trHeight w:val="571" w:hRule="auto"/>
        </w:trPr>
        body 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Latvia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74" w:hRule="auto"/>
        </w:trPr>
        body 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</w:tr>
      <w:tr>
        <w:trPr>
          <w:trHeight w:val="571" w:hRule="auto"/>
        </w:trPr>
        body 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Lithuania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</w:tr>
      <w:tr>
        <w:trPr>
          <w:trHeight w:val="571" w:hRule="auto"/>
        </w:trPr>
        body 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Israel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</w:t>
            </w:r>
          </w:p>
        </w:tc>
      </w:tr>
      <w:tr>
        <w:trPr>
          <w:trHeight w:val="614" w:hRule="auto"/>
        </w:trPr>
        body 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Malaysia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</w:t>
            </w:r>
          </w:p>
        </w:tc>
      </w:tr>
      <w:tr>
        <w:trPr>
          <w:trHeight w:val="574" w:hRule="auto"/>
        </w:trPr>
        body 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Greece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</w:t>
            </w:r>
          </w:p>
        </w:tc>
      </w:tr>
      <w:tr>
        <w:trPr>
          <w:trHeight w:val="614" w:hRule="auto"/>
        </w:trPr>
        body 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Portugal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583" w:hRule="auto"/>
        </w:trPr>
        body 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Qatar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1" w:hRule="auto"/>
        </w:trPr>
        body 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Botswana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71" w:hRule="auto"/>
        </w:trPr>
        body 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Puerto Rico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trHeight w:val="572" w:hRule="auto"/>
        </w:trPr>
        body 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Austria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</w:t>
            </w:r>
          </w:p>
        </w:tc>
      </w:tr>
      <w:tr>
        <w:trPr>
          <w:trHeight w:val="571" w:hRule="auto"/>
        </w:trPr>
        body 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Kosovo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571" w:hRule="auto"/>
        </w:trPr>
        body 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North Macedonia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614" w:hRule="auto"/>
        </w:trPr>
        body 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Mongolia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72" w:hRule="auto"/>
        </w:trPr>
        body 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Eswatini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14" w:hRule="auto"/>
        </w:trPr>
        body 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574" w:hRule="auto"/>
        </w:trPr>
        body 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Czechia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</w:t>
            </w:r>
          </w:p>
        </w:tc>
      </w:tr>
      <w:tr>
        <w:trPr>
          <w:trHeight w:val="574" w:hRule="auto"/>
        </w:trPr>
        body 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Oman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</w:tr>
      <w:tr>
        <w:trPr>
          <w:trHeight w:val="615" w:hRule="auto"/>
        </w:trPr>
        body 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211</w:t>
            </w:r>
          </w:p>
        </w:tc>
      </w:tr>
      <w:tr>
        <w:trPr>
          <w:trHeight w:val="574" w:hRule="auto"/>
        </w:trPr>
        body 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South Africa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214</w:t>
            </w:r>
          </w:p>
        </w:tc>
      </w:tr>
      <w:tr>
        <w:trPr>
          <w:trHeight w:val="571" w:hRule="auto"/>
        </w:trPr>
        body 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Jordan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</w:tr>
      <w:tr>
        <w:trPr>
          <w:trHeight w:val="614" w:hRule="auto"/>
        </w:trPr>
        body 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238</w:t>
            </w:r>
          </w:p>
        </w:tc>
      </w:tr>
      <w:tr>
        <w:trPr>
          <w:trHeight w:val="615" w:hRule="auto"/>
        </w:trPr>
        body 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Slovak 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71" w:hRule="auto"/>
        </w:trPr>
        body 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Bahrain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17" w:hRule="auto"/>
        </w:trPr>
        body 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Germany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273</w:t>
            </w:r>
          </w:p>
        </w:tc>
      </w:tr>
      <w:tr>
        <w:trPr>
          <w:trHeight w:val="572" w:hRule="auto"/>
        </w:trPr>
        body 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Jamaica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574" w:hRule="auto"/>
        </w:trPr>
        body 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West Bank and Gaza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14" w:hRule="auto"/>
        </w:trPr>
        body 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United Kingdom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219</w:t>
            </w:r>
          </w:p>
        </w:tc>
      </w:tr>
      <w:tr>
        <w:trPr>
          <w:trHeight w:val="572" w:hRule="auto"/>
        </w:trPr>
        body 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Lebanon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</w:tr>
      <w:tr>
        <w:trPr>
          <w:trHeight w:val="612" w:hRule="auto"/>
        </w:trPr>
        body 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Iran, Islamic Rep.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266</w:t>
            </w:r>
          </w:p>
        </w:tc>
      </w:tr>
      <w:tr>
        <w:trPr>
          <w:trHeight w:val="572" w:hRule="auto"/>
        </w:trPr>
        body 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Kuwait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74" w:hRule="auto"/>
        </w:trPr>
        body 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Serbia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574" w:hRule="auto"/>
        </w:trPr>
        body 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Ghana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110</w:t>
            </w:r>
          </w:p>
        </w:tc>
      </w:tr>
      <w:tr>
        <w:trPr>
          <w:trHeight w:val="614" w:hRule="auto"/>
        </w:trPr>
        body 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Hungary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614" w:hRule="auto"/>
        </w:trPr>
        body 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Bosnia and Herzegovina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74" w:hRule="auto"/>
        </w:trPr>
        body 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Saudi Arabia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</w:tr>
      <w:tr>
        <w:trPr>
          <w:trHeight w:val="614" w:hRule="auto"/>
        </w:trPr>
        body 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Uruguay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74" w:hRule="auto"/>
        </w:trPr>
        body 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Costa 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12" w:hRule="auto"/>
        </w:trPr>
        body 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Korea, Rep.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169</w:t>
            </w:r>
          </w:p>
        </w:tc>
      </w:tr>
      <w:tr>
        <w:trPr>
          <w:trHeight w:val="574" w:hRule="auto"/>
        </w:trPr>
        body 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</w:t>
            </w:r>
          </w:p>
        </w:tc>
      </w:tr>
      <w:tr>
        <w:trPr>
          <w:trHeight w:val="617" w:hRule="auto"/>
        </w:trPr>
        body 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Congo, Rep.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</w:tr>
      <w:tr>
        <w:trPr>
          <w:trHeight w:val="572" w:hRule="auto"/>
        </w:trPr>
        body 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Romania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</w:t>
            </w:r>
          </w:p>
        </w:tc>
      </w:tr>
      <w:tr>
        <w:trPr>
          <w:trHeight w:val="572" w:hRule="auto"/>
        </w:trPr>
        body 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134</w:t>
            </w:r>
          </w:p>
        </w:tc>
      </w:tr>
      <w:tr>
        <w:trPr>
          <w:trHeight w:val="614" w:hRule="auto"/>
        </w:trPr>
        body 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</w:tr>
      <w:tr>
        <w:trPr>
          <w:trHeight w:val="612" w:hRule="auto"/>
        </w:trPr>
        body 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Japan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341</w:t>
            </w:r>
          </w:p>
        </w:tc>
      </w:tr>
      <w:tr>
        <w:trPr>
          <w:trHeight w:val="571" w:hRule="auto"/>
        </w:trPr>
        body 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Albania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612" w:hRule="auto"/>
        </w:trPr>
        body 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Nepal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</w:t>
            </w:r>
          </w:p>
        </w:tc>
      </w:tr>
      <w:tr>
        <w:trPr>
          <w:trHeight w:val="614" w:hRule="auto"/>
        </w:trPr>
        body 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Kenya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132</w:t>
            </w:r>
          </w:p>
        </w:tc>
      </w:tr>
      <w:tr>
        <w:trPr>
          <w:trHeight w:val="614" w:hRule="auto"/>
        </w:trPr>
        body 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Trinidad and Tobago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571" w:hRule="auto"/>
        </w:trPr>
        body 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Panama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71" w:hRule="auto"/>
        </w:trPr>
        body 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165</w:t>
            </w:r>
          </w:p>
        </w:tc>
      </w:tr>
      <w:tr>
        <w:trPr>
          <w:trHeight w:val="572" w:hRule="auto"/>
        </w:trPr>
        body 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Timor-Leste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574" w:hRule="auto"/>
        </w:trPr>
        body 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United States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724</w:t>
            </w:r>
          </w:p>
        </w:tc>
      </w:tr>
      <w:tr>
        <w:trPr>
          <w:trHeight w:val="602" w:hRule="auto"/>
        </w:trPr>
        body 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Gambia, The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574" w:hRule="auto"/>
        </w:trPr>
        body 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Sri Lanka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</w:t>
            </w:r>
          </w:p>
        </w:tc>
      </w:tr>
      <w:tr>
        <w:trPr>
          <w:trHeight w:val="572" w:hRule="auto"/>
        </w:trPr>
        body 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Armenia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71" w:hRule="auto"/>
        </w:trPr>
        body 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Lao PDR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trHeight w:val="614" w:hRule="auto"/>
        </w:trPr>
        body 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Turkiye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</w:tr>
      <w:tr>
        <w:trPr>
          <w:trHeight w:val="614" w:hRule="auto"/>
        </w:trPr>
        body 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Uganda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</w:t>
            </w:r>
          </w:p>
        </w:tc>
      </w:tr>
      <w:tr>
        <w:trPr>
          <w:trHeight w:val="571" w:hRule="auto"/>
        </w:trPr>
        body 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Zimbabwe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</w:tr>
      <w:tr>
        <w:trPr>
          <w:trHeight w:val="572" w:hRule="auto"/>
        </w:trPr>
        body 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Mauritius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571" w:hRule="auto"/>
        </w:trPr>
        body 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Rwanda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</w:tr>
      <w:tr>
        <w:trPr>
          <w:trHeight w:val="572" w:hRule="auto"/>
        </w:trPr>
        body 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Thailand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134</w:t>
            </w:r>
          </w:p>
        </w:tc>
      </w:tr>
      <w:tr>
        <w:trPr>
          <w:trHeight w:val="571" w:hRule="auto"/>
        </w:trPr>
        body 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Tunisia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</w:tr>
      <w:tr>
        <w:trPr>
          <w:trHeight w:val="571" w:hRule="auto"/>
        </w:trPr>
        body 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United Arab Emirates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1" w:hRule="auto"/>
        </w:trPr>
        body 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Liberia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572" w:hRule="auto"/>
        </w:trPr>
        body 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Brazil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</w:tr>
      <w:tr>
        <w:trPr>
          <w:trHeight w:val="572" w:hRule="auto"/>
        </w:trPr>
        body 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Zambia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</w:tr>
      <w:tr>
        <w:trPr>
          <w:trHeight w:val="572" w:hRule="auto"/>
        </w:trPr>
        body 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Ecuador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trHeight w:val="572" w:hRule="auto"/>
        </w:trPr>
        body 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Moldova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572" w:hRule="auto"/>
        </w:trPr>
        body 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</w:t>
            </w:r>
          </w:p>
        </w:tc>
      </w:tr>
      <w:tr>
        <w:trPr>
          <w:trHeight w:val="574" w:hRule="auto"/>
        </w:trPr>
        body 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Cambodia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</w:tr>
      <w:tr>
        <w:trPr>
          <w:trHeight w:val="571" w:hRule="auto"/>
        </w:trPr>
        body 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Tanzania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</w:t>
            </w:r>
          </w:p>
        </w:tc>
      </w:tr>
      <w:tr>
        <w:trPr>
          <w:trHeight w:val="614" w:hRule="auto"/>
        </w:trPr>
        body 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612" w:hRule="auto"/>
        </w:trPr>
        body 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Ethiopia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177</w:t>
            </w:r>
          </w:p>
        </w:tc>
      </w:tr>
      <w:tr>
        <w:trPr>
          <w:trHeight w:val="614" w:hRule="auto"/>
        </w:trPr>
        body 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Nicaragua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17" w:hRule="auto"/>
        </w:trPr>
        body 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Senegal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574" w:hRule="auto"/>
        </w:trPr>
        body 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Colombia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571" w:hRule="auto"/>
        </w:trPr>
        body 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Malawi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</w:tr>
      <w:tr>
        <w:trPr>
          <w:trHeight w:val="615" w:hRule="auto"/>
        </w:trPr>
        body 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Papua New Guinea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</w:tr>
      <w:tr>
        <w:trPr>
          <w:trHeight w:val="614" w:hRule="auto"/>
        </w:trPr>
        body 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Djibouti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4" w:hRule="auto"/>
        </w:trPr>
        body 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232</w:t>
            </w:r>
          </w:p>
        </w:tc>
      </w:tr>
      <w:tr>
        <w:trPr>
          <w:trHeight w:val="614" w:hRule="auto"/>
        </w:trPr>
        body 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Argentina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</w:t>
            </w:r>
          </w:p>
        </w:tc>
      </w:tr>
      <w:tr>
        <w:trPr>
          <w:trHeight w:val="572" w:hRule="auto"/>
        </w:trPr>
        body100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Indonesia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339</w:t>
            </w:r>
          </w:p>
        </w:tc>
      </w:tr>
      <w:tr>
        <w:trPr>
          <w:trHeight w:val="574" w:hRule="auto"/>
        </w:trPr>
        body101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Gabon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571" w:hRule="auto"/>
        </w:trPr>
        body102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Eritrea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574" w:hRule="auto"/>
        </w:trPr>
        body103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14" w:hRule="auto"/>
        </w:trPr>
        body104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Libya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571" w:hRule="auto"/>
        </w:trPr>
        body105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Benin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</w:tr>
      <w:tr>
        <w:trPr>
          <w:trHeight w:val="571" w:hRule="auto"/>
        </w:trPr>
        body106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Mexico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124</w:t>
            </w:r>
          </w:p>
        </w:tc>
      </w:tr>
      <w:tr>
        <w:trPr>
          <w:trHeight w:val="615" w:hRule="auto"/>
        </w:trPr>
        body107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Equatorial Guinea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571" w:hRule="auto"/>
        </w:trPr>
        body108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Viet Nam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101</w:t>
            </w:r>
          </w:p>
        </w:tc>
      </w:tr>
      <w:tr>
        <w:trPr>
          <w:trHeight w:val="571" w:hRule="auto"/>
        </w:trPr>
        body109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Haiti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</w:tr>
      <w:tr>
        <w:trPr>
          <w:trHeight w:val="615" w:hRule="auto"/>
        </w:trPr>
        body110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Central African 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614" w:hRule="auto"/>
        </w:trPr>
        body111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Niger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</w:tr>
      <w:tr>
        <w:trPr>
          <w:trHeight w:val="572" w:hRule="auto"/>
        </w:trPr>
        body112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Bolivia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74" w:hRule="auto"/>
        </w:trPr>
        body113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Guinea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</w:tr>
      <w:tr>
        <w:trPr>
          <w:trHeight w:val="600" w:hRule="auto"/>
        </w:trPr>
        body114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1,191</w:t>
            </w:r>
          </w:p>
        </w:tc>
      </w:tr>
      <w:tr>
        <w:trPr>
          <w:trHeight w:val="574" w:hRule="auto"/>
        </w:trPr>
        body115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Sierra Leone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612" w:hRule="auto"/>
        </w:trPr>
        body116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Dominican 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571" w:hRule="auto"/>
        </w:trPr>
        body117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Honduras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72" w:hRule="auto"/>
        </w:trPr>
        body118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Ukraine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</w:tr>
      <w:tr>
        <w:trPr>
          <w:trHeight w:val="614" w:hRule="auto"/>
        </w:trPr>
        body119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Azerbaijan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614" w:hRule="auto"/>
        </w:trPr>
        body120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Bangladesh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116</w:t>
            </w:r>
          </w:p>
        </w:tc>
      </w:tr>
      <w:tr>
        <w:trPr>
          <w:trHeight w:val="612" w:hRule="auto"/>
        </w:trPr>
        body121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Iraq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</w:t>
            </w:r>
          </w:p>
        </w:tc>
      </w:tr>
      <w:tr>
        <w:trPr>
          <w:trHeight w:val="572" w:hRule="auto"/>
        </w:trPr>
        body122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Kazakhstan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</w:tr>
      <w:tr>
        <w:trPr>
          <w:trHeight w:val="574" w:hRule="auto"/>
        </w:trPr>
        body123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Cameroon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</w:tr>
      <w:tr>
        <w:trPr>
          <w:trHeight w:val="571" w:hRule="auto"/>
        </w:trPr>
        body124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Pakistan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177</w:t>
            </w:r>
          </w:p>
        </w:tc>
      </w:tr>
      <w:tr>
        <w:trPr>
          <w:trHeight w:val="571" w:hRule="auto"/>
        </w:trPr>
        body125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Lesotho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574" w:hRule="auto"/>
        </w:trPr>
        body126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El Salvador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14" w:hRule="auto"/>
        </w:trPr>
        body127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Egypt, Arab Rep.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83</w:t>
            </w:r>
          </w:p>
        </w:tc>
      </w:tr>
      <w:tr>
        <w:trPr>
          <w:trHeight w:val="571" w:hRule="auto"/>
        </w:trPr>
        body128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Morocco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</w:tr>
      <w:tr>
        <w:trPr>
          <w:trHeight w:val="571" w:hRule="auto"/>
        </w:trPr>
        body129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Russian Federation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</w:t>
            </w:r>
          </w:p>
        </w:tc>
      </w:tr>
      <w:tr>
        <w:trPr>
          <w:trHeight w:val="572" w:hRule="auto"/>
        </w:trPr>
        body130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Mauritania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574" w:hRule="auto"/>
        </w:trPr>
        body131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Guatemala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617" w:hRule="auto"/>
        </w:trPr>
        body132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Syrian Arab 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14" w:hRule="auto"/>
        </w:trPr>
        body133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Myanmar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614" w:hRule="auto"/>
        </w:trPr>
        body134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Kyrgyz 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574" w:hRule="auto"/>
        </w:trPr>
        body135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</w:tr>
      <w:tr>
        <w:trPr>
          <w:trHeight w:val="571" w:hRule="auto"/>
        </w:trPr>
        body136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Belarus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14" w:hRule="auto"/>
        </w:trPr>
        body137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Madagascar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12" w:hRule="auto"/>
        </w:trPr>
        body138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Mozambique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12" w:hRule="auto"/>
        </w:trPr>
        body139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Philippines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</w:t>
            </w:r>
          </w:p>
        </w:tc>
      </w:tr>
      <w:tr>
        <w:trPr>
          <w:trHeight w:val="617" w:hRule="auto"/>
        </w:trPr>
        body140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Afghanistan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</w:tr>
      <w:tr>
        <w:trPr>
          <w:trHeight w:val="571" w:hRule="auto"/>
        </w:trPr>
        body141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Burkina Faso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74" w:hRule="auto"/>
        </w:trPr>
        body142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South Sudan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612" w:hRule="auto"/>
        </w:trPr>
        body143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Yemen, Rep.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</w:tr>
      <w:tr>
        <w:trPr>
          <w:trHeight w:val="574" w:hRule="auto"/>
        </w:trPr>
        body144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Somalia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572" w:hRule="auto"/>
        </w:trPr>
        body145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466</w:t>
            </w:r>
          </w:p>
        </w:tc>
      </w:tr>
      <w:tr>
        <w:trPr>
          <w:trHeight w:val="599" w:hRule="auto"/>
        </w:trPr>
        body146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Venezuela, RB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572" w:hRule="auto"/>
        </w:trPr>
        body147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Burundi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572" w:hRule="auto"/>
        </w:trPr>
        body148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14" w:hRule="auto"/>
        </w:trPr>
        body149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</w:tr>
      <w:tr>
        <w:trPr>
          <w:trHeight w:val="614" w:hRule="auto"/>
        </w:trPr>
        body150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Tajikistan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574" w:hRule="auto"/>
        </w:trPr>
        body151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617" w:hRule="auto"/>
        </w:trPr>
        body152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Congo, Dem. Rep.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</w:tr>
      <w:tr>
        <w:trPr>
          <w:trHeight w:val="614" w:hRule="auto"/>
        </w:trPr>
        body153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Angola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574" w:hRule="auto"/>
        </w:trPr>
        body154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Guinea-Bissau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571" w:hRule="auto"/>
        </w:trPr>
        body155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Turkmenistan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574" w:hRule="auto"/>
        </w:trPr>
        body156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Cote d'Ivoire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612" w:hRule="auto"/>
        </w:trPr>
        body157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Korea, Dem. People's Rep.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571" w:hRule="auto"/>
        </w:trPr>
        body158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Uzbekistan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</w:tbl>
    <w:bookmarkEnd w:id="113"/>
    <w:bookmarkStart w:id="114" w:name="figure-a.1-amazon-mturk-prompt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Figure A.1 Amazon Mturk Prompt</w:t>
      </w:r>
    </w:p>
    <w:p>
      <w:pPr>
        <w:pStyle w:val="FirstParagraph"/>
      </w:pPr>
    </w:p>
    <w:bookmarkEnd w:id="114"/>
    <w:bookmarkStart w:id="124" w:name="X995897f4b8ceaa7058c1fa6b3fa661a64b5d822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Figure A.2. Comparison to Number of Academic Articles from other papers</w:t>
      </w:r>
    </w:p>
    <w:p>
      <w:pPr>
        <w:numPr>
          <w:ilvl w:val="0"/>
          <w:numId w:val="1003"/>
        </w:numPr>
        <w:pStyle w:val="Compact"/>
      </w:pPr>
      <w:r>
        <w:t xml:space="preserve">Comparison with Das et al. (2013)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./figures/unnamed-chunk-25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pStyle w:val="Compact"/>
      </w:pPr>
      <w:r>
        <w:t xml:space="preserve">Comparison with Porteous (2020)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./figures/unnamed-chunk-26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5"/>
        </w:numPr>
        <w:pStyle w:val="Compact"/>
      </w:pPr>
      <w:r>
        <w:t xml:space="preserve">Comparison with NSF database of scientific and technical articles (2018)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./figures/natacad-1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X7b9dcc95eb624a710aa487ccccc470f408e007e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Figure A.3. Comparison of the Number of Qualitative and Quantitative Papers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./figures/unnamed-chunk-27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8" w:name="Xf642c4b54b6d6bac732d027c33a5a4581aaf74d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Figure A.4. Share of Qualitative Papers vs SPI Overall Score. 2017-2019.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./figures/unnamed-chunk-28-1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A.5. Relationship between Data Research and Data Supply</w:t>
      </w:r>
    </w:p>
    <w:p>
      <w:pPr>
        <w:numPr>
          <w:ilvl w:val="0"/>
          <w:numId w:val="1006"/>
        </w:numPr>
        <w:pStyle w:val="Compact"/>
      </w:pPr>
      <w:r>
        <w:t xml:space="preserve">Country Scatterplot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./figures/unnamed-chunk-29-1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  <w:pStyle w:val="Compact"/>
      </w:pPr>
      <w:r>
        <w:t xml:space="preserve">Map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./figures/unnamed-chunk-30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X93d8cdf87dc06280affd78d8a72fffd8be5e75b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Table A.2. Relationship between Data Use in Academia and Data Sources from SPI.</w:t>
      </w:r>
    </w:p>
    <w:tbl>
      <w:tblPr>
        <w:tblStyle w:val="Table"/>
        <w:tblW w:type="pct" w:w="4746"/>
        <w:tblLook w:firstRow="1" w:lastRow="1" w:firstColumn="0" w:lastColumn="0" w:noHBand="0" w:noVBand="0" w:val="0020"/>
        <w:jc w:val="start"/>
        <w:tblLayout w:type="fixed"/>
      </w:tblPr>
      <w:tblGrid>
        <w:gridCol w:w="2595"/>
        <w:gridCol w:w="492"/>
        <w:gridCol w:w="492"/>
        <w:gridCol w:w="492"/>
        <w:gridCol w:w="492"/>
        <w:gridCol w:w="492"/>
        <w:gridCol w:w="492"/>
        <w:gridCol w:w="492"/>
        <w:gridCol w:w="492"/>
        <w:gridCol w:w="492"/>
        <w:gridCol w:w="492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-4.14***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-4.71***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-4.04***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-4.26***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-4.06***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-4.73***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-4.15***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(1.16)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GDP per capita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log(qual_papers + 1)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 Census in past 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0.30+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(0.16)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Agriculture Census in past 10 years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(0.12)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Business/Establishment Census in past 10 years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(0.11)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Household surveys: 2 or more in 10 years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(0.21)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Agriculture Surveys: 2 or more in 10 years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0.22*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(0.10)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Labor Force Surveys: 2 or more in 10 years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0.36*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(0.15)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Health Surveys: 2 or more in 10 years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(0.12)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Business/Establishments: 2 or more in 10 years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0.20*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(0.10)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Complete Civil Registration and Vital Statistics System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(0.18)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Availability of Data at 1st Admin Level (ODIN) Score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1.27**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(0.44)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 Sq.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</w:tr>
      <w:tr>
        <w:tc>
          <w:tcPr>
            <w:gridSpan w:val="11"/>
          </w:tcPr>
          <w:p>
            <w:pPr>
              <w:pStyle w:val="Compact"/>
              <w:jc w:val="left"/>
            </w:pPr>
            <w:r>
              <w:t xml:space="preserve">Data from the World Bank’s World Development Indicators (WDI) and SPI. Papers include all papers using data years 2017-2019.</w:t>
            </w:r>
            <w:r>
              <w:t xml:space="preserve"> </w:t>
            </w:r>
            <w:r>
              <w:rPr>
                <w:bCs/>
                <w:b/>
                <w:iCs/>
                <w:i/>
              </w:rPr>
              <w:t xml:space="preserve">=0.001 level</w:t>
            </w:r>
            <w:r>
              <w:rPr>
                <w:bCs/>
                <w:b/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=0.01 level</w:t>
            </w:r>
            <w:r>
              <w:rPr>
                <w:iCs/>
                <w:i/>
              </w:rPr>
              <w:t xml:space="preserve"> </w:t>
            </w:r>
            <w:r>
              <w:t xml:space="preserve">=0.05</w:t>
            </w:r>
            <w:r>
              <w:t xml:space="preserve"> </w:t>
            </w:r>
            <w:r>
              <w:t xml:space="preserve">level +=0.1 level</w:t>
            </w:r>
          </w:p>
        </w:tc>
      </w:tr>
    </w:tbl>
    <w:bookmarkEnd w:id="139"/>
    <w:bookmarkEnd w:id="1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2">
    <w:nsid w:val="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3">
    <w:nsid w:val="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abstractNum w:abstractNumId="99431">
    <w:nsid w:val="A99431"/>
    <w:multiLevelType w:val="multilevel"/>
    <w:lvl w:ilvl="0">
      <w:start w:val="1"/>
      <w:numFmt w:val="decimal"/>
      <w:lvlText w:val="(%1)"/>
      <w:lvlJc w:val="left"/>
      <w:pPr>
        <w:ind w:left="720" w:hanging="480"/>
      </w:pPr>
    </w:lvl>
    <w:lvl w:ilvl="1">
      <w:start w:val="1"/>
      <w:numFmt w:val="decimal"/>
      <w:lvlText w:val="(%2)"/>
      <w:lvlJc w:val="left"/>
      <w:pPr>
        <w:ind w:left="1440" w:hanging="480"/>
      </w:pPr>
    </w:lvl>
    <w:lvl w:ilvl="2">
      <w:start w:val="1"/>
      <w:numFmt w:val="decimal"/>
      <w:lvlText w:val="(%3)"/>
      <w:lvlJc w:val="left"/>
      <w:pPr>
        <w:ind w:left="2160" w:hanging="480"/>
      </w:pPr>
    </w:lvl>
    <w:lvl w:ilvl="3">
      <w:start w:val="1"/>
      <w:numFmt w:val="decimal"/>
      <w:lvlText w:val="(%4)"/>
      <w:lvlJc w:val="left"/>
      <w:pPr>
        <w:ind w:left="2880" w:hanging="480"/>
      </w:pPr>
    </w:lvl>
    <w:lvl w:ilvl="4">
      <w:start w:val="1"/>
      <w:numFmt w:val="decimal"/>
      <w:lvlText w:val="(%5)"/>
      <w:lvlJc w:val="left"/>
      <w:pPr>
        <w:ind w:left="3600" w:hanging="480"/>
      </w:pPr>
    </w:lvl>
    <w:lvl w:ilvl="5">
      <w:start w:val="1"/>
      <w:numFmt w:val="decimal"/>
      <w:lvlText w:val="(%6)"/>
      <w:lvlJc w:val="left"/>
      <w:pPr>
        <w:ind w:left="4320" w:hanging="480"/>
      </w:pPr>
    </w:lvl>
    <w:lvl w:ilvl="6">
      <w:start w:val="1"/>
      <w:numFmt w:val="decimal"/>
      <w:lvlText w:val="(%7)"/>
      <w:lvlJc w:val="left"/>
      <w:pPr>
        <w:ind w:left="5040" w:hanging="480"/>
      </w:pPr>
    </w:lvl>
    <w:lvl w:ilvl="7">
      <w:start w:val="1"/>
      <w:numFmt w:val="decimal"/>
      <w:lvlText w:val="(%8)"/>
      <w:lvlJc w:val="left"/>
      <w:pPr>
        <w:ind w:left="5760" w:hanging="480"/>
      </w:pPr>
    </w:lvl>
    <w:lvl w:ilvl="8">
      <w:start w:val="1"/>
      <w:numFmt w:val="decimal"/>
      <w:lvlText w:val="(%9)"/>
      <w:lvlJc w:val="left"/>
      <w:pPr>
        <w:ind w:left="6480" w:hanging="480"/>
      </w:pPr>
    </w:lvl>
  </w:abstractNum>
  <w:abstractNum w:abstractNumId="99432">
    <w:nsid w:val="A99432"/>
    <w:multiLevelType w:val="multilevel"/>
    <w:lvl w:ilvl="0">
      <w:start w:val="2"/>
      <w:numFmt w:val="decimal"/>
      <w:lvlText w:val="(%1)"/>
      <w:lvlJc w:val="left"/>
      <w:pPr>
        <w:ind w:left="720" w:hanging="480"/>
      </w:pPr>
    </w:lvl>
    <w:lvl w:ilvl="1">
      <w:start w:val="2"/>
      <w:numFmt w:val="decimal"/>
      <w:lvlText w:val="(%2)"/>
      <w:lvlJc w:val="left"/>
      <w:pPr>
        <w:ind w:left="1440" w:hanging="480"/>
      </w:pPr>
    </w:lvl>
    <w:lvl w:ilvl="2">
      <w:start w:val="2"/>
      <w:numFmt w:val="decimal"/>
      <w:lvlText w:val="(%3)"/>
      <w:lvlJc w:val="left"/>
      <w:pPr>
        <w:ind w:left="2160" w:hanging="480"/>
      </w:pPr>
    </w:lvl>
    <w:lvl w:ilvl="3">
      <w:start w:val="2"/>
      <w:numFmt w:val="decimal"/>
      <w:lvlText w:val="(%4)"/>
      <w:lvlJc w:val="left"/>
      <w:pPr>
        <w:ind w:left="2880" w:hanging="480"/>
      </w:pPr>
    </w:lvl>
    <w:lvl w:ilvl="4">
      <w:start w:val="2"/>
      <w:numFmt w:val="decimal"/>
      <w:lvlText w:val="(%5)"/>
      <w:lvlJc w:val="left"/>
      <w:pPr>
        <w:ind w:left="3600" w:hanging="480"/>
      </w:pPr>
    </w:lvl>
    <w:lvl w:ilvl="5">
      <w:start w:val="2"/>
      <w:numFmt w:val="decimal"/>
      <w:lvlText w:val="(%6)"/>
      <w:lvlJc w:val="left"/>
      <w:pPr>
        <w:ind w:left="4320" w:hanging="480"/>
      </w:pPr>
    </w:lvl>
    <w:lvl w:ilvl="6">
      <w:start w:val="2"/>
      <w:numFmt w:val="decimal"/>
      <w:lvlText w:val="(%7)"/>
      <w:lvlJc w:val="left"/>
      <w:pPr>
        <w:ind w:left="5040" w:hanging="480"/>
      </w:pPr>
    </w:lvl>
    <w:lvl w:ilvl="7">
      <w:start w:val="2"/>
      <w:numFmt w:val="decimal"/>
      <w:lvlText w:val="(%8)"/>
      <w:lvlJc w:val="left"/>
      <w:pPr>
        <w:ind w:left="5760" w:hanging="480"/>
      </w:pPr>
    </w:lvl>
    <w:lvl w:ilvl="8">
      <w:start w:val="2"/>
      <w:numFmt w:val="decimal"/>
      <w:lvlText w:val="(%9)"/>
      <w:lvlJc w:val="left"/>
      <w:pPr>
        <w:ind w:left="6480" w:hanging="480"/>
      </w:pPr>
    </w:lvl>
  </w:abstractNum>
  <w:abstractNum w:abstractNumId="99433">
    <w:nsid w:val="A99433"/>
    <w:multiLevelType w:val="multilevel"/>
    <w:lvl w:ilvl="0">
      <w:start w:val="3"/>
      <w:numFmt w:val="decimal"/>
      <w:lvlText w:val="(%1)"/>
      <w:lvlJc w:val="left"/>
      <w:pPr>
        <w:ind w:left="720" w:hanging="480"/>
      </w:pPr>
    </w:lvl>
    <w:lvl w:ilvl="1">
      <w:start w:val="3"/>
      <w:numFmt w:val="decimal"/>
      <w:lvlText w:val="(%2)"/>
      <w:lvlJc w:val="left"/>
      <w:pPr>
        <w:ind w:left="1440" w:hanging="480"/>
      </w:pPr>
    </w:lvl>
    <w:lvl w:ilvl="2">
      <w:start w:val="3"/>
      <w:numFmt w:val="decimal"/>
      <w:lvlText w:val="(%3)"/>
      <w:lvlJc w:val="left"/>
      <w:pPr>
        <w:ind w:left="2160" w:hanging="480"/>
      </w:pPr>
    </w:lvl>
    <w:lvl w:ilvl="3">
      <w:start w:val="3"/>
      <w:numFmt w:val="decimal"/>
      <w:lvlText w:val="(%4)"/>
      <w:lvlJc w:val="left"/>
      <w:pPr>
        <w:ind w:left="2880" w:hanging="480"/>
      </w:pPr>
    </w:lvl>
    <w:lvl w:ilvl="4">
      <w:start w:val="3"/>
      <w:numFmt w:val="decimal"/>
      <w:lvlText w:val="(%5)"/>
      <w:lvlJc w:val="left"/>
      <w:pPr>
        <w:ind w:left="3600" w:hanging="480"/>
      </w:pPr>
    </w:lvl>
    <w:lvl w:ilvl="5">
      <w:start w:val="3"/>
      <w:numFmt w:val="decimal"/>
      <w:lvlText w:val="(%6)"/>
      <w:lvlJc w:val="left"/>
      <w:pPr>
        <w:ind w:left="4320" w:hanging="480"/>
      </w:pPr>
    </w:lvl>
    <w:lvl w:ilvl="6">
      <w:start w:val="3"/>
      <w:numFmt w:val="decimal"/>
      <w:lvlText w:val="(%7)"/>
      <w:lvlJc w:val="left"/>
      <w:pPr>
        <w:ind w:left="5040" w:hanging="480"/>
      </w:pPr>
    </w:lvl>
    <w:lvl w:ilvl="7">
      <w:start w:val="3"/>
      <w:numFmt w:val="decimal"/>
      <w:lvlText w:val="(%8)"/>
      <w:lvlJc w:val="left"/>
      <w:pPr>
        <w:ind w:left="5760" w:hanging="480"/>
      </w:pPr>
    </w:lvl>
    <w:lvl w:ilvl="8">
      <w:start w:val="3"/>
      <w:numFmt w:val="decimal"/>
      <w:lvlText w:val="(%9)"/>
      <w:lvlJc w:val="left"/>
      <w:pPr>
        <w:ind w:left="6480" w:hanging="480"/>
      </w:pPr>
    </w:lvl>
  </w:abstractNum>
  <w:abstractNum w:abstractNumId="99434">
    <w:nsid w:val="A99434"/>
    <w:multiLevelType w:val="multilevel"/>
    <w:lvl w:ilvl="0">
      <w:start w:val="4"/>
      <w:numFmt w:val="decimal"/>
      <w:lvlText w:val="(%1)"/>
      <w:lvlJc w:val="left"/>
      <w:pPr>
        <w:ind w:left="720" w:hanging="480"/>
      </w:pPr>
    </w:lvl>
    <w:lvl w:ilvl="1">
      <w:start w:val="4"/>
      <w:numFmt w:val="decimal"/>
      <w:lvlText w:val="(%2)"/>
      <w:lvlJc w:val="left"/>
      <w:pPr>
        <w:ind w:left="1440" w:hanging="480"/>
      </w:pPr>
    </w:lvl>
    <w:lvl w:ilvl="2">
      <w:start w:val="4"/>
      <w:numFmt w:val="decimal"/>
      <w:lvlText w:val="(%3)"/>
      <w:lvlJc w:val="left"/>
      <w:pPr>
        <w:ind w:left="2160" w:hanging="480"/>
      </w:pPr>
    </w:lvl>
    <w:lvl w:ilvl="3">
      <w:start w:val="4"/>
      <w:numFmt w:val="decimal"/>
      <w:lvlText w:val="(%4)"/>
      <w:lvlJc w:val="left"/>
      <w:pPr>
        <w:ind w:left="2880" w:hanging="480"/>
      </w:pPr>
    </w:lvl>
    <w:lvl w:ilvl="4">
      <w:start w:val="4"/>
      <w:numFmt w:val="decimal"/>
      <w:lvlText w:val="(%5)"/>
      <w:lvlJc w:val="left"/>
      <w:pPr>
        <w:ind w:left="3600" w:hanging="480"/>
      </w:pPr>
    </w:lvl>
    <w:lvl w:ilvl="5">
      <w:start w:val="4"/>
      <w:numFmt w:val="decimal"/>
      <w:lvlText w:val="(%6)"/>
      <w:lvlJc w:val="left"/>
      <w:pPr>
        <w:ind w:left="4320" w:hanging="480"/>
      </w:pPr>
    </w:lvl>
    <w:lvl w:ilvl="6">
      <w:start w:val="4"/>
      <w:numFmt w:val="decimal"/>
      <w:lvlText w:val="(%7)"/>
      <w:lvlJc w:val="left"/>
      <w:pPr>
        <w:ind w:left="5040" w:hanging="480"/>
      </w:pPr>
    </w:lvl>
    <w:lvl w:ilvl="7">
      <w:start w:val="4"/>
      <w:numFmt w:val="decimal"/>
      <w:lvlText w:val="(%8)"/>
      <w:lvlJc w:val="left"/>
      <w:pPr>
        <w:ind w:left="5760" w:hanging="480"/>
      </w:pPr>
    </w:lvl>
    <w:lvl w:ilvl="8">
      <w:start w:val="4"/>
      <w:numFmt w:val="decimal"/>
      <w:lvlText w:val="(%9)"/>
      <w:lvlJc w:val="left"/>
      <w:pPr>
        <w:ind w:left="6480" w:hanging="480"/>
      </w:pPr>
    </w:lvl>
  </w:abstractNum>
  <w:abstractNum w:abstractNumId="99435">
    <w:nsid w:val="A99435"/>
    <w:multiLevelType w:val="multilevel"/>
    <w:lvl w:ilvl="0">
      <w:start w:val="5"/>
      <w:numFmt w:val="decimal"/>
      <w:lvlText w:val="(%1)"/>
      <w:lvlJc w:val="left"/>
      <w:pPr>
        <w:ind w:left="720" w:hanging="480"/>
      </w:pPr>
    </w:lvl>
    <w:lvl w:ilvl="1">
      <w:start w:val="5"/>
      <w:numFmt w:val="decimal"/>
      <w:lvlText w:val="(%2)"/>
      <w:lvlJc w:val="left"/>
      <w:pPr>
        <w:ind w:left="1440" w:hanging="480"/>
      </w:pPr>
    </w:lvl>
    <w:lvl w:ilvl="2">
      <w:start w:val="5"/>
      <w:numFmt w:val="decimal"/>
      <w:lvlText w:val="(%3)"/>
      <w:lvlJc w:val="left"/>
      <w:pPr>
        <w:ind w:left="2160" w:hanging="480"/>
      </w:pPr>
    </w:lvl>
    <w:lvl w:ilvl="3">
      <w:start w:val="5"/>
      <w:numFmt w:val="decimal"/>
      <w:lvlText w:val="(%4)"/>
      <w:lvlJc w:val="left"/>
      <w:pPr>
        <w:ind w:left="2880" w:hanging="480"/>
      </w:pPr>
    </w:lvl>
    <w:lvl w:ilvl="4">
      <w:start w:val="5"/>
      <w:numFmt w:val="decimal"/>
      <w:lvlText w:val="(%5)"/>
      <w:lvlJc w:val="left"/>
      <w:pPr>
        <w:ind w:left="3600" w:hanging="480"/>
      </w:pPr>
    </w:lvl>
    <w:lvl w:ilvl="5">
      <w:start w:val="5"/>
      <w:numFmt w:val="decimal"/>
      <w:lvlText w:val="(%6)"/>
      <w:lvlJc w:val="left"/>
      <w:pPr>
        <w:ind w:left="4320" w:hanging="480"/>
      </w:pPr>
    </w:lvl>
    <w:lvl w:ilvl="6">
      <w:start w:val="5"/>
      <w:numFmt w:val="decimal"/>
      <w:lvlText w:val="(%7)"/>
      <w:lvlJc w:val="left"/>
      <w:pPr>
        <w:ind w:left="5040" w:hanging="480"/>
      </w:pPr>
    </w:lvl>
    <w:lvl w:ilvl="7">
      <w:start w:val="5"/>
      <w:numFmt w:val="decimal"/>
      <w:lvlText w:val="(%8)"/>
      <w:lvlJc w:val="left"/>
      <w:pPr>
        <w:ind w:left="5760" w:hanging="480"/>
      </w:pPr>
    </w:lvl>
    <w:lvl w:ilvl="8">
      <w:start w:val="5"/>
      <w:numFmt w:val="decimal"/>
      <w:lvlText w:val="(%9)"/>
      <w:lvlJc w:val="left"/>
      <w:pPr>
        <w:ind w:left="6480" w:hanging="480"/>
      </w:pPr>
    </w:lvl>
  </w:abstractNum>
  <w:abstractNum w:abstractNumId="99436">
    <w:nsid w:val="A99436"/>
    <w:multiLevelType w:val="multilevel"/>
    <w:lvl w:ilvl="0">
      <w:start w:val="6"/>
      <w:numFmt w:val="decimal"/>
      <w:lvlText w:val="(%1)"/>
      <w:lvlJc w:val="left"/>
      <w:pPr>
        <w:ind w:left="720" w:hanging="480"/>
      </w:pPr>
    </w:lvl>
    <w:lvl w:ilvl="1">
      <w:start w:val="6"/>
      <w:numFmt w:val="decimal"/>
      <w:lvlText w:val="(%2)"/>
      <w:lvlJc w:val="left"/>
      <w:pPr>
        <w:ind w:left="1440" w:hanging="480"/>
      </w:pPr>
    </w:lvl>
    <w:lvl w:ilvl="2">
      <w:start w:val="6"/>
      <w:numFmt w:val="decimal"/>
      <w:lvlText w:val="(%3)"/>
      <w:lvlJc w:val="left"/>
      <w:pPr>
        <w:ind w:left="2160" w:hanging="480"/>
      </w:pPr>
    </w:lvl>
    <w:lvl w:ilvl="3">
      <w:start w:val="6"/>
      <w:numFmt w:val="decimal"/>
      <w:lvlText w:val="(%4)"/>
      <w:lvlJc w:val="left"/>
      <w:pPr>
        <w:ind w:left="2880" w:hanging="480"/>
      </w:pPr>
    </w:lvl>
    <w:lvl w:ilvl="4">
      <w:start w:val="6"/>
      <w:numFmt w:val="decimal"/>
      <w:lvlText w:val="(%5)"/>
      <w:lvlJc w:val="left"/>
      <w:pPr>
        <w:ind w:left="3600" w:hanging="480"/>
      </w:pPr>
    </w:lvl>
    <w:lvl w:ilvl="5">
      <w:start w:val="6"/>
      <w:numFmt w:val="decimal"/>
      <w:lvlText w:val="(%6)"/>
      <w:lvlJc w:val="left"/>
      <w:pPr>
        <w:ind w:left="4320" w:hanging="480"/>
      </w:pPr>
    </w:lvl>
    <w:lvl w:ilvl="6">
      <w:start w:val="6"/>
      <w:numFmt w:val="decimal"/>
      <w:lvlText w:val="(%7)"/>
      <w:lvlJc w:val="left"/>
      <w:pPr>
        <w:ind w:left="5040" w:hanging="480"/>
      </w:pPr>
    </w:lvl>
    <w:lvl w:ilvl="7">
      <w:start w:val="6"/>
      <w:numFmt w:val="decimal"/>
      <w:lvlText w:val="(%8)"/>
      <w:lvlJc w:val="left"/>
      <w:pPr>
        <w:ind w:left="5760" w:hanging="480"/>
      </w:pPr>
    </w:lvl>
    <w:lvl w:ilvl="8">
      <w:start w:val="6"/>
      <w:numFmt w:val="decimal"/>
      <w:lvlText w:val="(%9)"/>
      <w:lvlJc w:val="left"/>
      <w:pPr>
        <w:ind w:left="6480" w:hanging="480"/>
      </w:pPr>
    </w:lvl>
  </w:abstractNum>
  <w:abstractNum w:abstractNumId="99437">
    <w:nsid w:val="A99437"/>
    <w:multiLevelType w:val="multilevel"/>
    <w:lvl w:ilvl="0">
      <w:start w:val="7"/>
      <w:numFmt w:val="decimal"/>
      <w:lvlText w:val="(%1)"/>
      <w:lvlJc w:val="left"/>
      <w:pPr>
        <w:ind w:left="720" w:hanging="480"/>
      </w:pPr>
    </w:lvl>
    <w:lvl w:ilvl="1">
      <w:start w:val="7"/>
      <w:numFmt w:val="decimal"/>
      <w:lvlText w:val="(%2)"/>
      <w:lvlJc w:val="left"/>
      <w:pPr>
        <w:ind w:left="1440" w:hanging="480"/>
      </w:pPr>
    </w:lvl>
    <w:lvl w:ilvl="2">
      <w:start w:val="7"/>
      <w:numFmt w:val="decimal"/>
      <w:lvlText w:val="(%3)"/>
      <w:lvlJc w:val="left"/>
      <w:pPr>
        <w:ind w:left="2160" w:hanging="480"/>
      </w:pPr>
    </w:lvl>
    <w:lvl w:ilvl="3">
      <w:start w:val="7"/>
      <w:numFmt w:val="decimal"/>
      <w:lvlText w:val="(%4)"/>
      <w:lvlJc w:val="left"/>
      <w:pPr>
        <w:ind w:left="2880" w:hanging="480"/>
      </w:pPr>
    </w:lvl>
    <w:lvl w:ilvl="4">
      <w:start w:val="7"/>
      <w:numFmt w:val="decimal"/>
      <w:lvlText w:val="(%5)"/>
      <w:lvlJc w:val="left"/>
      <w:pPr>
        <w:ind w:left="3600" w:hanging="480"/>
      </w:pPr>
    </w:lvl>
    <w:lvl w:ilvl="5">
      <w:start w:val="7"/>
      <w:numFmt w:val="decimal"/>
      <w:lvlText w:val="(%6)"/>
      <w:lvlJc w:val="left"/>
      <w:pPr>
        <w:ind w:left="4320" w:hanging="480"/>
      </w:pPr>
    </w:lvl>
    <w:lvl w:ilvl="6">
      <w:start w:val="7"/>
      <w:numFmt w:val="decimal"/>
      <w:lvlText w:val="(%7)"/>
      <w:lvlJc w:val="left"/>
      <w:pPr>
        <w:ind w:left="5040" w:hanging="480"/>
      </w:pPr>
    </w:lvl>
    <w:lvl w:ilvl="7">
      <w:start w:val="7"/>
      <w:numFmt w:val="decimal"/>
      <w:lvlText w:val="(%8)"/>
      <w:lvlJc w:val="left"/>
      <w:pPr>
        <w:ind w:left="5760" w:hanging="480"/>
      </w:pPr>
    </w:lvl>
    <w:lvl w:ilvl="8">
      <w:start w:val="7"/>
      <w:numFmt w:val="decimal"/>
      <w:lvlText w:val="(%9)"/>
      <w:lvlJc w:val="left"/>
      <w:pPr>
        <w:ind w:left="6480" w:hanging="480"/>
      </w:pPr>
    </w:lvl>
  </w:abstractNum>
  <w:abstractNum w:abstractNumId="99438">
    <w:nsid w:val="A99438"/>
    <w:multiLevelType w:val="multilevel"/>
    <w:lvl w:ilvl="0">
      <w:start w:val="8"/>
      <w:numFmt w:val="decimal"/>
      <w:lvlText w:val="(%1)"/>
      <w:lvlJc w:val="left"/>
      <w:pPr>
        <w:ind w:left="720" w:hanging="480"/>
      </w:pPr>
    </w:lvl>
    <w:lvl w:ilvl="1">
      <w:start w:val="8"/>
      <w:numFmt w:val="decimal"/>
      <w:lvlText w:val="(%2)"/>
      <w:lvlJc w:val="left"/>
      <w:pPr>
        <w:ind w:left="1440" w:hanging="480"/>
      </w:pPr>
    </w:lvl>
    <w:lvl w:ilvl="2">
      <w:start w:val="8"/>
      <w:numFmt w:val="decimal"/>
      <w:lvlText w:val="(%3)"/>
      <w:lvlJc w:val="left"/>
      <w:pPr>
        <w:ind w:left="2160" w:hanging="480"/>
      </w:pPr>
    </w:lvl>
    <w:lvl w:ilvl="3">
      <w:start w:val="8"/>
      <w:numFmt w:val="decimal"/>
      <w:lvlText w:val="(%4)"/>
      <w:lvlJc w:val="left"/>
      <w:pPr>
        <w:ind w:left="2880" w:hanging="480"/>
      </w:pPr>
    </w:lvl>
    <w:lvl w:ilvl="4">
      <w:start w:val="8"/>
      <w:numFmt w:val="decimal"/>
      <w:lvlText w:val="(%5)"/>
      <w:lvlJc w:val="left"/>
      <w:pPr>
        <w:ind w:left="3600" w:hanging="480"/>
      </w:pPr>
    </w:lvl>
    <w:lvl w:ilvl="5">
      <w:start w:val="8"/>
      <w:numFmt w:val="decimal"/>
      <w:lvlText w:val="(%6)"/>
      <w:lvlJc w:val="left"/>
      <w:pPr>
        <w:ind w:left="4320" w:hanging="480"/>
      </w:pPr>
    </w:lvl>
    <w:lvl w:ilvl="6">
      <w:start w:val="8"/>
      <w:numFmt w:val="decimal"/>
      <w:lvlText w:val="(%7)"/>
      <w:lvlJc w:val="left"/>
      <w:pPr>
        <w:ind w:left="5040" w:hanging="480"/>
      </w:pPr>
    </w:lvl>
    <w:lvl w:ilvl="7">
      <w:start w:val="8"/>
      <w:numFmt w:val="decimal"/>
      <w:lvlText w:val="(%8)"/>
      <w:lvlJc w:val="left"/>
      <w:pPr>
        <w:ind w:left="5760" w:hanging="480"/>
      </w:pPr>
    </w:lvl>
    <w:lvl w:ilvl="8">
      <w:start w:val="8"/>
      <w:numFmt w:val="decimal"/>
      <w:lvlText w:val="(%9)"/>
      <w:lvlJc w:val="left"/>
      <w:pPr>
        <w:ind w:left="6480" w:hanging="480"/>
      </w:pPr>
    </w:lvl>
  </w:abstractNum>
  <w:abstractNum w:abstractNumId="99439">
    <w:nsid w:val="A99439"/>
    <w:multiLevelType w:val="multilevel"/>
    <w:lvl w:ilvl="0">
      <w:start w:val="9"/>
      <w:numFmt w:val="decimal"/>
      <w:lvlText w:val="(%1)"/>
      <w:lvlJc w:val="left"/>
      <w:pPr>
        <w:ind w:left="720" w:hanging="480"/>
      </w:pPr>
    </w:lvl>
    <w:lvl w:ilvl="1">
      <w:start w:val="9"/>
      <w:numFmt w:val="decimal"/>
      <w:lvlText w:val="(%2)"/>
      <w:lvlJc w:val="left"/>
      <w:pPr>
        <w:ind w:left="1440" w:hanging="480"/>
      </w:pPr>
    </w:lvl>
    <w:lvl w:ilvl="2">
      <w:start w:val="9"/>
      <w:numFmt w:val="decimal"/>
      <w:lvlText w:val="(%3)"/>
      <w:lvlJc w:val="left"/>
      <w:pPr>
        <w:ind w:left="2160" w:hanging="480"/>
      </w:pPr>
    </w:lvl>
    <w:lvl w:ilvl="3">
      <w:start w:val="9"/>
      <w:numFmt w:val="decimal"/>
      <w:lvlText w:val="(%4)"/>
      <w:lvlJc w:val="left"/>
      <w:pPr>
        <w:ind w:left="2880" w:hanging="480"/>
      </w:pPr>
    </w:lvl>
    <w:lvl w:ilvl="4">
      <w:start w:val="9"/>
      <w:numFmt w:val="decimal"/>
      <w:lvlText w:val="(%5)"/>
      <w:lvlJc w:val="left"/>
      <w:pPr>
        <w:ind w:left="3600" w:hanging="480"/>
      </w:pPr>
    </w:lvl>
    <w:lvl w:ilvl="5">
      <w:start w:val="9"/>
      <w:numFmt w:val="decimal"/>
      <w:lvlText w:val="(%6)"/>
      <w:lvlJc w:val="left"/>
      <w:pPr>
        <w:ind w:left="4320" w:hanging="480"/>
      </w:pPr>
    </w:lvl>
    <w:lvl w:ilvl="6">
      <w:start w:val="9"/>
      <w:numFmt w:val="decimal"/>
      <w:lvlText w:val="(%7)"/>
      <w:lvlJc w:val="left"/>
      <w:pPr>
        <w:ind w:left="5040" w:hanging="480"/>
      </w:pPr>
    </w:lvl>
    <w:lvl w:ilvl="7">
      <w:start w:val="9"/>
      <w:numFmt w:val="decimal"/>
      <w:lvlText w:val="(%8)"/>
      <w:lvlJc w:val="left"/>
      <w:pPr>
        <w:ind w:left="5760" w:hanging="480"/>
      </w:pPr>
    </w:lvl>
    <w:lvl w:ilvl="8">
      <w:start w:val="9"/>
      <w:numFmt w:val="decimal"/>
      <w:lvlText w:val="(%9)"/>
      <w:lvlJc w:val="left"/>
      <w:pPr>
        <w:ind w:left="6480" w:hanging="480"/>
      </w:pPr>
    </w:lvl>
  </w:abstractNum>
  <w:abstractNum w:abstractNumId="994310">
    <w:nsid w:val="A994310"/>
    <w:multiLevelType w:val="multilevel"/>
    <w:lvl w:ilvl="0">
      <w:start w:val="10"/>
      <w:numFmt w:val="decimal"/>
      <w:lvlText w:val="(%1)"/>
      <w:lvlJc w:val="left"/>
      <w:pPr>
        <w:ind w:left="720" w:hanging="480"/>
      </w:pPr>
    </w:lvl>
    <w:lvl w:ilvl="1">
      <w:start w:val="10"/>
      <w:numFmt w:val="decimal"/>
      <w:lvlText w:val="(%2)"/>
      <w:lvlJc w:val="left"/>
      <w:pPr>
        <w:ind w:left="1440" w:hanging="480"/>
      </w:pPr>
    </w:lvl>
    <w:lvl w:ilvl="2">
      <w:start w:val="10"/>
      <w:numFmt w:val="decimal"/>
      <w:lvlText w:val="(%3)"/>
      <w:lvlJc w:val="left"/>
      <w:pPr>
        <w:ind w:left="2160" w:hanging="480"/>
      </w:pPr>
    </w:lvl>
    <w:lvl w:ilvl="3">
      <w:start w:val="10"/>
      <w:numFmt w:val="decimal"/>
      <w:lvlText w:val="(%4)"/>
      <w:lvlJc w:val="left"/>
      <w:pPr>
        <w:ind w:left="2880" w:hanging="480"/>
      </w:pPr>
    </w:lvl>
    <w:lvl w:ilvl="4">
      <w:start w:val="10"/>
      <w:numFmt w:val="decimal"/>
      <w:lvlText w:val="(%5)"/>
      <w:lvlJc w:val="left"/>
      <w:pPr>
        <w:ind w:left="3600" w:hanging="480"/>
      </w:pPr>
    </w:lvl>
    <w:lvl w:ilvl="5">
      <w:start w:val="10"/>
      <w:numFmt w:val="decimal"/>
      <w:lvlText w:val="(%6)"/>
      <w:lvlJc w:val="left"/>
      <w:pPr>
        <w:ind w:left="4320" w:hanging="480"/>
      </w:pPr>
    </w:lvl>
    <w:lvl w:ilvl="6">
      <w:start w:val="10"/>
      <w:numFmt w:val="decimal"/>
      <w:lvlText w:val="(%7)"/>
      <w:lvlJc w:val="left"/>
      <w:pPr>
        <w:ind w:left="5040" w:hanging="480"/>
      </w:pPr>
    </w:lvl>
    <w:lvl w:ilvl="7">
      <w:start w:val="10"/>
      <w:numFmt w:val="decimal"/>
      <w:lvlText w:val="(%8)"/>
      <w:lvlJc w:val="left"/>
      <w:pPr>
        <w:ind w:left="5760" w:hanging="480"/>
      </w:pPr>
    </w:lvl>
    <w:lvl w:ilvl="8">
      <w:start w:val="10"/>
      <w:numFmt w:val="decimal"/>
      <w:lvlText w:val="(%9)"/>
      <w:lvlJc w:val="left"/>
      <w:pPr>
        <w:ind w:left="6480" w:hanging="480"/>
      </w:pPr>
    </w:lvl>
  </w:abstractNum>
  <w:num w:numId="1000">
    <w:abstractNumId w:val="990"/>
  </w:num>
  <w:num w:numId="1001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2">
    <w:abstractNumId w:val="991"/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2">
    <w:abstractNumId w:val="9943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3">
    <w:abstractNumId w:val="9943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4">
    <w:abstractNumId w:val="9943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5">
    <w:abstractNumId w:val="9943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6">
    <w:abstractNumId w:val="9943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43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04" Target="media/rId104.png" /><Relationship Type="http://schemas.openxmlformats.org/officeDocument/2006/relationships/image" Id="rId121" Target="media/rId121.png" /><Relationship Type="http://schemas.openxmlformats.org/officeDocument/2006/relationships/image" Id="rId100" Target="media/rId100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61" Target="media/rId61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71" Target="media/rId71.png" /><Relationship Type="http://schemas.openxmlformats.org/officeDocument/2006/relationships/image" Id="rId74" Target="media/rId74.png" /><Relationship Type="http://schemas.openxmlformats.org/officeDocument/2006/relationships/image" Id="rId77" Target="media/rId77.png" /><Relationship Type="http://schemas.openxmlformats.org/officeDocument/2006/relationships/image" Id="rId80" Target="media/rId80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94" Target="media/rId94.png" /><Relationship Type="http://schemas.openxmlformats.org/officeDocument/2006/relationships/image" Id="rId108" Target="media/rId108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125" Target="media/rId125.png" /><Relationship Type="http://schemas.openxmlformats.org/officeDocument/2006/relationships/image" Id="rId129" Target="media/rId129.png" /><Relationship Type="http://schemas.openxmlformats.org/officeDocument/2006/relationships/image" Id="rId132" Target="media/rId132.png" /><Relationship Type="http://schemas.openxmlformats.org/officeDocument/2006/relationships/image" Id="rId21" Target="media/rId21.png" /><Relationship Type="http://schemas.openxmlformats.org/officeDocument/2006/relationships/image" Id="rId135" Target="media/rId135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Replication package for Missing Evidence: Tracking Academic Data Use around the World</dc:title>
  <dc:creator>Brian Stacy, Lucas Kitzmuller, Daniel Mahler, Umar Serajuddin, and Xiaoyu Wang</dc:creator>
  <cp:keywords/>
  <dcterms:created xsi:type="dcterms:W3CDTF">2024-09-09T19:01:04Z</dcterms:created>
  <dcterms:modified xsi:type="dcterms:W3CDTF">2024-09-09T19:01:04Z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2024-09-09</vt:lpwstr>
  </property>
  <property fmtid="{D5CDD505-2E9C-101B-9397-08002B2CF9AE}" pid="3" name="output">
    <vt:lpwstr/>
  </property>
</Properties>
</file>