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cs="Times New Roman"/>
          <w:sz w:val="28"/>
          <w:szCs w:val="28"/>
          <w:shd w:val="clear" w:color="auto" w:fill="ffffff"/>
        </w:rPr>
      </w:pPr>
      <w:r>
        <w:rPr>
          <w:rFonts w:cs="Times New Roman"/>
          <w:sz w:val="28"/>
          <w:szCs w:val="28"/>
          <w:shd w:val="clear" w:color="auto" w:fill="ffffff"/>
        </w:rPr>
        <w:t xml:space="preserve">Нефункциональные требования</w:t>
      </w:r>
      <w:r>
        <w:rPr>
          <w:rFonts w:cs="Times New Roman"/>
          <w:sz w:val="28"/>
          <w:szCs w:val="28"/>
          <w:shd w:val="clear" w:color="auto" w:fill="ffffff"/>
        </w:rPr>
        <w:t xml:space="preserve">.</w:t>
      </w:r>
      <w:r>
        <w:rPr>
          <w:rFonts w:cs="Times New Roman"/>
          <w:sz w:val="28"/>
          <w:szCs w:val="28"/>
          <w:shd w:val="clear" w:color="auto" w:fill="ffffff"/>
        </w:rPr>
      </w:r>
    </w:p>
    <w:p>
      <w:pPr>
        <w:ind w:firstLine="709"/>
        <w:jc w:val="both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</w:t>
      </w:r>
      <w:r>
        <w:rPr>
          <w:rFonts w:cs="Times New Roman"/>
          <w:sz w:val="28"/>
          <w:szCs w:val="28"/>
        </w:rPr>
        <w:t xml:space="preserve">я обеспечения успешной эксплуатации, удовлетворения потребностей п</w:t>
      </w:r>
      <w:r>
        <w:rPr>
          <w:rFonts w:cs="Times New Roman"/>
          <w:sz w:val="28"/>
          <w:szCs w:val="28"/>
        </w:rPr>
        <w:t xml:space="preserve">ользователей и достижения бизнес-целей не менее важны нефункциональные требования (НФТ). Они задают критерии качества, которым должна соответствовать система, и определяют, насколько хорошо она будет выполнять свои функции в реальных условиях эксплуатации.</w:t>
      </w:r>
      <w:r>
        <w:rPr>
          <w:rFonts w:cs="Times New Roman"/>
          <w:sz w:val="28"/>
          <w:szCs w:val="28"/>
        </w:rPr>
      </w:r>
    </w:p>
    <w:p>
      <w:pPr>
        <w:pStyle w:val="641"/>
        <w:numPr>
          <w:ilvl w:val="0"/>
          <w:numId w:val="2"/>
        </w:numPr>
        <w:ind w:left="0" w:firstLine="709"/>
        <w:jc w:val="both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Формулирование нефункциональных требований</w:t>
      </w:r>
      <w:r>
        <w:rPr>
          <w:rFonts w:cs="Times New Roman"/>
          <w:sz w:val="28"/>
          <w:szCs w:val="28"/>
        </w:rPr>
        <w:t xml:space="preserve">:</w:t>
      </w:r>
      <w:r>
        <w:rPr>
          <w:rFonts w:cs="Times New Roman"/>
          <w:sz w:val="28"/>
          <w:szCs w:val="28"/>
        </w:rPr>
      </w:r>
    </w:p>
    <w:tbl>
      <w:tblPr>
        <w:tblStyle w:val="643"/>
        <w:tblW w:w="9356" w:type="dxa"/>
        <w:tblLook w:val="04A0" w:firstRow="1" w:lastRow="0" w:firstColumn="1" w:lastColumn="0" w:noHBand="0" w:noVBand="1"/>
      </w:tblPr>
      <w:tblGrid>
        <w:gridCol w:w="2906"/>
        <w:gridCol w:w="2101"/>
        <w:gridCol w:w="4349"/>
      </w:tblGrid>
      <w:tr>
        <w:tblPrEx/>
        <w:trPr>
          <w:trHeight w:val="948"/>
        </w:trPr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Категория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Идентификатор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Формулировка требования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Доступность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NFR-AVAIL-01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«Личный кабинет» должна быть доступна для внешних и внутренних по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льзователей не менее 99,5% времени в течение года (включая часы пиковой нагрузки), за исключением заранее запланированных окон обслуживания, которые должны проводиться в наименее загруженное время (например, с 02:00 до 04:00) и не чаще одного раза в месяц.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Производительность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NFR-PERF-01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Время отклика системы при выполнении ключевых операций (подача заявки, загрузка документов, просмотр статуса, совершение платежа) при одновременной работе не менее 500 активных пользователей не должно превышать 2 секунд для 95% запросов.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NFR-PERF-02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должна обеспечивать возможность одновременной обработки не менее 100 заявок на лизинг в минуту в часы пик 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(например, во время рекламной кампании) без деградации производительности.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Надежность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NFR-REL-01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Среднее время восстановления (MTTR) системы после сбоя, приведшего к полной или частичной недоступности, не должно превышать 2 часов.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NFR-REL-02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Уровень критических ошибок (Severity 1), приводящих к потере данных или невозможности выполнения основных функций, не должен превышать 1 инцидента в квартал.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Масштабируемость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NFR-SCAL-01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Архитектура системы долж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на обеспечивать горизонтальное масштабирование, позволяющее увеличивать пропускную способность не менее чем в 5 раз от начальной (в соответствии с прогнозируемым ростом клиентской базы) без необходимости остановки сервиса и с минимальными изменениями кода.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NFR-SCAL-02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должна поддерживать рост объёма хранимых данных (документы, история операций) до 5 ТБ в год с возможностью дальнейшего расширения без потери производительности запросов.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Безопасность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NFR-SEC-01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Все персональные данные клиентов (ФИО, паспортные данные, ИНН, контактные данные, платёжная информация) должны храниться и передаваться только в зашифрованном виде с 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использованием современных алгоритмов (например, AES-256 для хранения, TLS 1.3 для передачи).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NFR-SEC-02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должна обеспеч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ивать строгую аутентификацию пользователей (логин/пароль с поддержкой двухфакторной аутентификации) и разграничение доступа на основе ролей (клиент, менеджер, администратор и др.) с невозможностью несанкционированного доступа к данным других пользователей.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NFR-SEC-03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Все действия пользователей в системе (вход, изменение данных, создание заявок, загрузка документов) должны логироваться с фиксацией времени, IP-адреса и типа операции для обеспечения возможности аудита и расследования инцидентов.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Совместимость (Интеграция)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NFR-INT-01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Система должна обеспечивать гарантированную доставку и непротиворечивость данных при двустороннем обмене с внешней системой 1С: должны быть реализованы механизмы повторных попыток при сбоях и журналирование ошибок синхронизации.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NFR-INT-02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Интеграция с платежным шлюзом должна соответствовать требованиям безопасности PCI DSS и обеспечивать обработку ответов от шлюза в режиме реального времени (таймаут не 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более 5 секунд) с автоматическим обновлением статуса платежа.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Юридические нормы и лицензирование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NFR-LEGAL-01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Интеграция с платежным шлюзом должна соответствовать требованиям безопасности PCI DSS и обеспечивать обработку ответов от шлюза в режиме реального времени (таймаут не 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более 5 секунд) с автоматическим обновлением статуса платежа.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NFR-LEGAL-02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Все операции, связанные с подписанием электронных документов (в перспективе), должны соответствовать закону «Об электронной подписи» (ФЗ-63) и использовать сертифицированные средства криптографической защиты информации (СКЗИ) при необходимости.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Поддержка и документация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NFR-SUP-01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Для системы должна быть разработана полная эксплуатационная документация, включающая: руководство пользователя (для клиентов и сотрудников), руководство администратора, описание архитектуры и инструкцию по развертыванию.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  <w:t xml:space="preserve">NFR-SUP-02</w:t>
            </w:r>
            <w:r>
              <w:rPr>
                <w:rFonts w:eastAsia="Times New Roman" w:cs="Times New Roman"/>
                <w:color w:val="0f1115"/>
                <w:szCs w:val="24"/>
                <w:lang w:eastAsia="ru-RU"/>
              </w:rPr>
            </w:r>
          </w:p>
        </w:tc>
        <w:tc>
          <w:tcPr>
            <w:tcW w:w="4349" w:type="dxa"/>
            <w:textDirection w:val="lrTb"/>
            <w:noWrap w:val="false"/>
          </w:tcPr>
          <w:p>
            <w:pPr>
              <w:spacing w:line="375" w:lineRule="atLeast"/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  <w:t xml:space="preserve">Время реакции службы технической поддержки на критический инцидент (Severity 1) не должно превышать 30 минут в рабочее время, на инциденты средней важности (Severity 2) – 4 часа.</w:t>
            </w:r>
            <w:r>
              <w:rPr>
                <w:rFonts w:eastAsia="Times New Roman" w:cs="Times New Roman"/>
                <w:color w:val="0f1115"/>
                <w:sz w:val="28"/>
                <w:szCs w:val="28"/>
                <w:lang w:eastAsia="ru-RU"/>
              </w:rPr>
            </w:r>
          </w:p>
        </w:tc>
      </w:tr>
    </w:tbl>
    <w:p>
      <w:pPr>
        <w:jc w:val="both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641"/>
        <w:numPr>
          <w:ilvl w:val="0"/>
          <w:numId w:val="2"/>
        </w:numPr>
        <w:ind w:left="0" w:firstLine="709"/>
        <w:jc w:val="both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Обоснование важности выбранных требований</w:t>
      </w:r>
      <w:r>
        <w:rPr>
          <w:rFonts w:cs="Times New Roman"/>
          <w:sz w:val="28"/>
          <w:szCs w:val="28"/>
        </w:rPr>
        <w:t xml:space="preserve">:</w:t>
      </w:r>
      <w:r>
        <w:rPr>
          <w:rFonts w:cs="Times New Roman"/>
          <w:sz w:val="28"/>
          <w:szCs w:val="28"/>
        </w:rPr>
      </w:r>
    </w:p>
    <w:p>
      <w:pPr>
        <w:pStyle w:val="644"/>
        <w:numPr>
          <w:ilvl w:val="1"/>
          <w:numId w:val="2"/>
        </w:numPr>
        <w:jc w:val="both"/>
        <w:spacing w:before="0" w:beforeAutospacing="0" w:after="120" w:afterAutospacing="0" w:line="276" w:lineRule="auto"/>
        <w:shd w:val="clear" w:color="auto" w:fill="ffffff"/>
        <w:tabs>
          <w:tab w:val="left" w:pos="1276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642"/>
          <w:b w:val="0"/>
          <w:bCs w:val="0"/>
          <w:color w:val="0f1115"/>
          <w:sz w:val="28"/>
          <w:szCs w:val="28"/>
        </w:rPr>
        <w:t xml:space="preserve">Доступность (NFR-AVAIL-01)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0"/>
          <w:numId w:val="3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Почему критично:</w:t>
      </w:r>
      <w:r>
        <w:rPr>
          <w:color w:val="0f1115"/>
          <w:sz w:val="28"/>
          <w:szCs w:val="28"/>
        </w:rPr>
        <w:t xml:space="preserve"> Личный кабинет становится основным каналом взаимодействия клиентов с компанией. Если система недоступна, клиенты не могут подать заявку, оплатить счёт или получить информацию. Это приводит к прямым потерям выручки и негативно сказывается на репутации.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0"/>
          <w:numId w:val="3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Влияние на бизнес и пользователей:</w:t>
      </w:r>
      <w:r>
        <w:rPr>
          <w:color w:val="0f1115"/>
          <w:sz w:val="28"/>
          <w:szCs w:val="28"/>
        </w:rPr>
        <w:t xml:space="preserve"> Для бизнеса простой означает упущенные сделки и рост нагрузк</w:t>
      </w:r>
      <w:r>
        <w:rPr>
          <w:color w:val="0f1115"/>
          <w:sz w:val="28"/>
          <w:szCs w:val="28"/>
        </w:rPr>
        <w:t xml:space="preserve">и на колл-центр (клиенты начнут звонить). Для клиентов – раздражение и риск ухода к конкурентам, у которых сервис стабильнее. Требование 99,5% доступности – это допустимый простой около 1,5 дней в год, что является стандартом для коммерческих веб-сервисов.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1"/>
          <w:numId w:val="2"/>
        </w:numPr>
        <w:jc w:val="both"/>
        <w:spacing w:before="0" w:beforeAutospacing="0" w:after="120" w:afterAutospacing="0" w:line="276" w:lineRule="auto"/>
        <w:shd w:val="clear" w:color="auto" w:fill="ffffff"/>
        <w:tabs>
          <w:tab w:val="left" w:pos="1276" w:leader="none"/>
        </w:tabs>
        <w:rPr>
          <w:rStyle w:val="642"/>
          <w:b w:val="0"/>
          <w:bCs w:val="0"/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Производительность (NFR-PERF-01, NFR-PERF-02)</w:t>
      </w:r>
      <w:r>
        <w:rPr>
          <w:rStyle w:val="642"/>
          <w:b w:val="0"/>
          <w:bCs w:val="0"/>
          <w:color w:val="0f1115"/>
          <w:sz w:val="28"/>
          <w:szCs w:val="28"/>
        </w:rPr>
      </w:r>
    </w:p>
    <w:p>
      <w:pPr>
        <w:pStyle w:val="644"/>
        <w:numPr>
          <w:ilvl w:val="0"/>
          <w:numId w:val="4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Почему критично:</w:t>
      </w:r>
      <w:r>
        <w:rPr>
          <w:color w:val="0f1115"/>
          <w:sz w:val="28"/>
          <w:szCs w:val="28"/>
        </w:rPr>
        <w:t xml:space="preserve"> Медленная работа системы уби</w:t>
      </w:r>
      <w:r>
        <w:rPr>
          <w:color w:val="0f1115"/>
          <w:sz w:val="28"/>
          <w:szCs w:val="28"/>
        </w:rPr>
        <w:t xml:space="preserve">вает пользовательский опыт. Особенно важна скорость при заполнении заявок и совершении платежей. При росте клиентской базы в 5 раз нагрузка возрастет многократно, и система должна справляться с пиковыми нагрузками (например, в дни запуска рекламных акций).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0"/>
          <w:numId w:val="4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Влияние:</w:t>
      </w:r>
      <w:r>
        <w:rPr>
          <w:color w:val="0f1115"/>
          <w:sz w:val="28"/>
          <w:szCs w:val="28"/>
        </w:rPr>
        <w:t xml:space="preserve"> Долгая загрузка </w:t>
      </w:r>
      <w:r>
        <w:rPr>
          <w:color w:val="0f1115"/>
          <w:sz w:val="28"/>
          <w:szCs w:val="28"/>
        </w:rPr>
        <w:t xml:space="preserve">страниц может привести к тому, что клиент бросит заполнение заявки. Согласно исследованиям, 2 секунды – это порог, после которого конверсия начинает падать. Требование к обработке 100 заявок в минуту позволит выдерживать пиковые нагрузки и не терять лидов.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1"/>
          <w:numId w:val="2"/>
        </w:numPr>
        <w:jc w:val="both"/>
        <w:spacing w:before="0" w:beforeAutospacing="0" w:after="120" w:afterAutospacing="0" w:line="276" w:lineRule="auto"/>
        <w:shd w:val="clear" w:color="auto" w:fill="ffffff"/>
        <w:tabs>
          <w:tab w:val="left" w:pos="1276" w:leader="none"/>
        </w:tabs>
        <w:rPr>
          <w:rStyle w:val="642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Надежность (NFR-REL-01, NFR-REL-02)</w:t>
      </w:r>
      <w:r>
        <w:rPr>
          <w:rStyle w:val="642"/>
        </w:rPr>
      </w:r>
    </w:p>
    <w:p>
      <w:pPr>
        <w:pStyle w:val="644"/>
        <w:numPr>
          <w:ilvl w:val="0"/>
          <w:numId w:val="5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Почему критично:</w:t>
      </w:r>
      <w:r>
        <w:rPr>
          <w:color w:val="0f1115"/>
          <w:sz w:val="28"/>
          <w:szCs w:val="28"/>
        </w:rPr>
        <w:t xml:space="preserve"> Сбои в системе ведут к потере данных (например, незавершённых заявок) и длительным простоям. Для финансовых операций (платежи) критически важна целостность данных. Быстрое восстановление (MTTR 2 часа) минимизирует потери.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0"/>
          <w:numId w:val="5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Влияние:</w:t>
      </w:r>
      <w:r>
        <w:rPr>
          <w:color w:val="0f1115"/>
          <w:sz w:val="28"/>
          <w:szCs w:val="28"/>
        </w:rPr>
        <w:t xml:space="preserve"> </w:t>
      </w:r>
      <w:r>
        <w:rPr>
          <w:color w:val="0f1115"/>
          <w:sz w:val="28"/>
          <w:szCs w:val="28"/>
        </w:rPr>
        <w:t xml:space="preserve">Длительные сбои подрывают доверие клиентов и могут привести к штрафам за несвоевременное исполнение обязательств. Ограничение на количество критических ошибок гарантирует, что система будет стабильной и не потребует постоянного вмешательства разработчиков.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1"/>
          <w:numId w:val="2"/>
        </w:numPr>
        <w:jc w:val="both"/>
        <w:spacing w:before="0" w:beforeAutospacing="0" w:after="120" w:afterAutospacing="0" w:line="276" w:lineRule="auto"/>
        <w:shd w:val="clear" w:color="auto" w:fill="ffffff"/>
        <w:tabs>
          <w:tab w:val="left" w:pos="1276" w:leader="none"/>
        </w:tabs>
        <w:rPr>
          <w:rStyle w:val="642"/>
          <w:lang w:val="en-US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Масштабируемость</w:t>
      </w:r>
      <w:r>
        <w:rPr>
          <w:rStyle w:val="642"/>
          <w:b w:val="0"/>
          <w:bCs w:val="0"/>
          <w:color w:val="0f1115"/>
          <w:sz w:val="28"/>
          <w:szCs w:val="28"/>
          <w:lang w:val="en-US"/>
        </w:rPr>
        <w:t xml:space="preserve"> (NFR-SCAL-01, NFR-SCAL-02)</w:t>
      </w:r>
      <w:r>
        <w:rPr>
          <w:rStyle w:val="642"/>
          <w:lang w:val="en-US"/>
        </w:rPr>
      </w:r>
    </w:p>
    <w:p>
      <w:pPr>
        <w:pStyle w:val="644"/>
        <w:numPr>
          <w:ilvl w:val="0"/>
          <w:numId w:val="6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Почему критично:</w:t>
      </w:r>
      <w:r>
        <w:rPr>
          <w:color w:val="0f1115"/>
          <w:sz w:val="28"/>
          <w:szCs w:val="28"/>
        </w:rPr>
        <w:t xml:space="preserve"> Стратегическая цель компании – увеличение клиентской базы в 5 раз. Система должна быть готова к такому росту без необходимости полной переработки. Горизонтальное масштабирование – самый гибкий и экономичный способ наращивания мощности.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0"/>
          <w:numId w:val="6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Влияние:</w:t>
      </w:r>
      <w:r>
        <w:rPr>
          <w:color w:val="0f1115"/>
          <w:sz w:val="28"/>
          <w:szCs w:val="28"/>
        </w:rPr>
        <w:t xml:space="preserve"> Отсутствие масштабируемости приведет к тому, что при росте числа клиент</w:t>
      </w:r>
      <w:r>
        <w:rPr>
          <w:color w:val="0f1115"/>
          <w:sz w:val="28"/>
          <w:szCs w:val="28"/>
        </w:rPr>
        <w:t xml:space="preserve">ов система начнет «тормозить» или падать. Это ограничит возможности бизнеса по расширению. Требование к росту объема данных также важно: документы клиентов будут накапливаться, и нужно гарантировать, что через 3 года поиск по архиву не будет занимать часы.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1"/>
          <w:numId w:val="2"/>
        </w:numPr>
        <w:jc w:val="both"/>
        <w:spacing w:before="0" w:beforeAutospacing="0" w:after="120" w:afterAutospacing="0" w:line="276" w:lineRule="auto"/>
        <w:shd w:val="clear" w:color="auto" w:fill="ffffff"/>
        <w:tabs>
          <w:tab w:val="left" w:pos="1276" w:leader="none"/>
        </w:tabs>
        <w:rPr>
          <w:rStyle w:val="642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Безопасность (NFR-SEC-01, NFR-SEC-02, NFR-SEC-03)</w:t>
      </w:r>
      <w:r>
        <w:rPr>
          <w:rStyle w:val="642"/>
        </w:rPr>
      </w:r>
    </w:p>
    <w:p>
      <w:pPr>
        <w:pStyle w:val="644"/>
        <w:numPr>
          <w:ilvl w:val="0"/>
          <w:numId w:val="7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Почему критично:</w:t>
      </w:r>
      <w:r>
        <w:rPr>
          <w:color w:val="0f1115"/>
          <w:sz w:val="28"/>
          <w:szCs w:val="28"/>
        </w:rPr>
        <w:t xml:space="preserve"> Лизинговая компания оперирует большим объемом чувствительных данных: паспортные данные, ИНН, финансовые сведения. Утечка таких данных грозит не только репутационными потерями, но и крупными штрафами по ФЗ-152, а также исками от клиентов.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0"/>
          <w:numId w:val="7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Влияние:</w:t>
      </w:r>
      <w:r>
        <w:rPr>
          <w:color w:val="0f1115"/>
          <w:sz w:val="28"/>
          <w:szCs w:val="28"/>
        </w:rPr>
        <w:t xml:space="preserve"> Обеспечение безопасности – базовое требование для работы в данной сфере. Шифрова</w:t>
      </w:r>
      <w:r>
        <w:rPr>
          <w:color w:val="0f1115"/>
          <w:sz w:val="28"/>
          <w:szCs w:val="28"/>
        </w:rPr>
        <w:t xml:space="preserve">ние защищает данные при передаче и хранении. Разграничение доступа предотвращает утечки со стороны сотрудников. Логирование позволяет расследовать инциденты. Без этого компания не может гарантировать клиентам конфиденциальность и рискует потерять лицензию.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1"/>
          <w:numId w:val="2"/>
        </w:numPr>
        <w:jc w:val="both"/>
        <w:spacing w:before="0" w:beforeAutospacing="0" w:after="120" w:afterAutospacing="0" w:line="276" w:lineRule="auto"/>
        <w:shd w:val="clear" w:color="auto" w:fill="ffffff"/>
        <w:tabs>
          <w:tab w:val="left" w:pos="1276" w:leader="none"/>
        </w:tabs>
        <w:rPr>
          <w:rStyle w:val="642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Совместимость (Интеграция) (NFR-INT-01, NFR-INT-02)</w:t>
      </w:r>
      <w:r>
        <w:rPr>
          <w:rStyle w:val="642"/>
        </w:rPr>
      </w:r>
    </w:p>
    <w:p>
      <w:pPr>
        <w:pStyle w:val="644"/>
        <w:numPr>
          <w:ilvl w:val="0"/>
          <w:numId w:val="8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Почему критично:</w:t>
      </w:r>
      <w:r>
        <w:rPr>
          <w:color w:val="0f1115"/>
          <w:sz w:val="28"/>
          <w:szCs w:val="28"/>
        </w:rPr>
        <w:t xml:space="preserve"> Л</w:t>
      </w:r>
      <w:r>
        <w:rPr>
          <w:color w:val="0f1115"/>
          <w:sz w:val="28"/>
          <w:szCs w:val="28"/>
        </w:rPr>
        <w:t xml:space="preserve">ичный кабинет не является изолированной системой. Он должен обмениваться данными с 1С (ядро учёта) и платежным шлюзом. Сбои в интеграции приведут к расхождениям в данных о платежах, договорах, что потребует ручной сверки и увеличит нагрузку на сотрудников.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0"/>
          <w:numId w:val="8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Влияние:</w:t>
      </w:r>
      <w:r>
        <w:rPr>
          <w:color w:val="0f1115"/>
          <w:sz w:val="28"/>
          <w:szCs w:val="28"/>
        </w:rPr>
        <w:t xml:space="preserve"> Гаран</w:t>
      </w:r>
      <w:r>
        <w:rPr>
          <w:color w:val="0f1115"/>
          <w:sz w:val="28"/>
          <w:szCs w:val="28"/>
        </w:rPr>
        <w:t xml:space="preserve">тированная доставка данных в 1С обеспечивает актуальность информации о сделках во всей компании. Соответствие PCI DSS при интеграции с платежным шлюзом – обязательное условие для приема банковских карт, его невыполнение блокирует возможность онлайн-оплаты.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1"/>
          <w:numId w:val="2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276" w:leader="none"/>
        </w:tabs>
        <w:rPr>
          <w:rStyle w:val="642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Юридические нормы и лицензирование (NFR-LEGAL-01, NFR-LEGAL-02)</w:t>
      </w:r>
      <w:r>
        <w:rPr>
          <w:rStyle w:val="642"/>
        </w:rPr>
      </w:r>
    </w:p>
    <w:p>
      <w:pPr>
        <w:pStyle w:val="644"/>
        <w:numPr>
          <w:ilvl w:val="0"/>
          <w:numId w:val="9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Почему критично:</w:t>
      </w:r>
      <w:r>
        <w:rPr>
          <w:color w:val="0f1115"/>
          <w:sz w:val="28"/>
          <w:szCs w:val="28"/>
        </w:rPr>
        <w:t xml:space="preserve"> Деятельность лизинговой компании регулируется законодательством. Несоблюдение норм может привести к судебным искам, штрафам и приостановке деятельности. Особенно важны законы о персональных данных и об электронной подписи.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0"/>
          <w:numId w:val="9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Влияние:</w:t>
      </w:r>
      <w:r>
        <w:rPr>
          <w:color w:val="0f1115"/>
          <w:sz w:val="28"/>
          <w:szCs w:val="28"/>
        </w:rPr>
        <w:t xml:space="preserve"> Соответствие ФЗ-152 – это не просто техни</w:t>
      </w:r>
      <w:r>
        <w:rPr>
          <w:color w:val="0f1115"/>
          <w:sz w:val="28"/>
          <w:szCs w:val="28"/>
        </w:rPr>
        <w:t xml:space="preserve">ческое требование, а юридическая обязанность. Без него компания не имеет права собирать и обрабатывать данные клиентов. В перспективе внедрение юридически значимого ЭДО потребует использования сертифицированных СКЗИ, и это требование закладывается заранее.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1"/>
          <w:numId w:val="2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276" w:leader="none"/>
        </w:tabs>
        <w:rPr>
          <w:rStyle w:val="642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Поддержка и документация (NFR-SUP-01, NFR-SUP-02)</w:t>
      </w:r>
      <w:r>
        <w:rPr>
          <w:rStyle w:val="642"/>
        </w:rPr>
      </w:r>
    </w:p>
    <w:p>
      <w:pPr>
        <w:pStyle w:val="644"/>
        <w:numPr>
          <w:ilvl w:val="0"/>
          <w:numId w:val="10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Почему критично:</w:t>
      </w:r>
      <w:r>
        <w:rPr>
          <w:color w:val="0f1115"/>
          <w:sz w:val="28"/>
          <w:szCs w:val="28"/>
        </w:rPr>
        <w:t xml:space="preserve"> После внед</w:t>
      </w:r>
      <w:r>
        <w:rPr>
          <w:color w:val="0f1115"/>
          <w:sz w:val="28"/>
          <w:szCs w:val="28"/>
        </w:rPr>
        <w:t xml:space="preserve">рения система будет эксплуатироваться и развиваться. Без качественной документации (как для пользователей, так и для администраторов) возникнут сложности в обучении сотрудников и решении проблем. Быстрая реакция поддержки на инциденты минимизирует простои.</w:t>
      </w:r>
      <w:r>
        <w:rPr>
          <w:color w:val="0f1115"/>
          <w:sz w:val="28"/>
          <w:szCs w:val="28"/>
        </w:rPr>
      </w:r>
    </w:p>
    <w:p>
      <w:pPr>
        <w:pStyle w:val="644"/>
        <w:numPr>
          <w:ilvl w:val="0"/>
          <w:numId w:val="10"/>
        </w:numPr>
        <w:ind w:left="0" w:firstLine="709"/>
        <w:jc w:val="both"/>
        <w:spacing w:before="0" w:beforeAutospacing="0" w:after="120" w:afterAutospacing="0" w:line="276" w:lineRule="auto"/>
        <w:shd w:val="clear" w:color="auto" w:fill="ffffff"/>
        <w:tabs>
          <w:tab w:val="left" w:pos="1134" w:leader="none"/>
        </w:tabs>
        <w:rPr>
          <w:color w:val="0f1115"/>
          <w:sz w:val="28"/>
          <w:szCs w:val="28"/>
        </w:rPr>
      </w:pPr>
      <w:r>
        <w:rPr>
          <w:rStyle w:val="642"/>
          <w:b w:val="0"/>
          <w:bCs w:val="0"/>
          <w:color w:val="0f1115"/>
          <w:sz w:val="28"/>
          <w:szCs w:val="28"/>
        </w:rPr>
        <w:t xml:space="preserve">Влияние:</w:t>
      </w:r>
      <w:r>
        <w:rPr>
          <w:color w:val="0f1115"/>
          <w:sz w:val="28"/>
          <w:szCs w:val="28"/>
        </w:rPr>
        <w:t xml:space="preserve"> Хорошая документация сокращает время ввода в должность новых сотрудников и снижает количество обращений в техподдержку. Четкие регламенты поддержки гарантируют, что критичные проблемы будут решаться оперативно, не влияя на бизнес.</w:t>
      </w:r>
      <w:r>
        <w:rPr>
          <w:color w:val="0f1115"/>
          <w:sz w:val="28"/>
          <w:szCs w:val="28"/>
        </w:rPr>
      </w:r>
    </w:p>
    <w:p>
      <w:pPr>
        <w:jc w:val="center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Заключение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Разработанные нефункциональные требования охватывают ключевые аспекты качества будущей системы «Личный кабинет клиента» для EcoLease Solutions Ltd. Они учитывают стратегические планы компании по росту, требования законо</w:t>
      </w:r>
      <w:r>
        <w:rPr>
          <w:rFonts w:cs="Times New Roman"/>
          <w:sz w:val="28"/>
          <w:szCs w:val="28"/>
        </w:rPr>
        <w:t xml:space="preserve">дательства, ожидания клиентов по производительности и доступности, а также необходимость надежной интеграции с существующими системами (1С, платежный шлюз). Каждое требование обосновано с точки зрения его влияния на бизнес-процессы и пользовательский опыт.</w:t>
      </w:r>
      <w:r>
        <w:rPr>
          <w:rFonts w:cs="Times New Roman"/>
          <w:sz w:val="28"/>
          <w:szCs w:val="28"/>
        </w:rPr>
      </w:r>
    </w:p>
    <w:p>
      <w:pPr>
        <w:ind w:firstLine="709"/>
        <w:jc w:val="both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Выполнение этих требований позволит создать не просто функциональный, но и качественный, конкурентоспособный продукт, который станет надежным инструментом для достижения целей компании по увеличению доли рынка,</w:t>
      </w:r>
      <w:r>
        <w:rPr>
          <w:rFonts w:cs="Times New Roman"/>
          <w:sz w:val="28"/>
          <w:szCs w:val="28"/>
        </w:rPr>
        <w:t xml:space="preserve"> повышению прибыли и удовлетворенности клиентов. В дальнейшем данные НФТ должны быть учтены при проектировании архитектуры, выборе технологий, разработке и тестировании системы, а также зафиксированы в контракте с подрядчиком как обязательные к исполнению.</w:t>
      </w:r>
      <w:r>
        <w:rPr>
          <w:rFonts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29" w:hanging="72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8"/>
  </w:num>
  <w:num w:numId="7">
    <w:abstractNumId w:val="1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4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37"/>
    <w:next w:val="63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37"/>
    <w:next w:val="63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37"/>
    <w:next w:val="63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3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37"/>
    <w:next w:val="63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3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37"/>
    <w:next w:val="63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37"/>
    <w:next w:val="63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7"/>
    <w:next w:val="63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7"/>
    <w:next w:val="63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7"/>
    <w:next w:val="63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37"/>
    <w:next w:val="63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8"/>
    <w:link w:val="34"/>
    <w:uiPriority w:val="10"/>
    <w:rPr>
      <w:sz w:val="48"/>
      <w:szCs w:val="48"/>
    </w:rPr>
  </w:style>
  <w:style w:type="paragraph" w:styleId="36">
    <w:name w:val="Subtitle"/>
    <w:basedOn w:val="637"/>
    <w:next w:val="63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8"/>
    <w:link w:val="36"/>
    <w:uiPriority w:val="11"/>
    <w:rPr>
      <w:sz w:val="24"/>
      <w:szCs w:val="24"/>
    </w:rPr>
  </w:style>
  <w:style w:type="paragraph" w:styleId="38">
    <w:name w:val="Quote"/>
    <w:basedOn w:val="637"/>
    <w:next w:val="63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7"/>
    <w:next w:val="63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8"/>
    <w:link w:val="42"/>
    <w:uiPriority w:val="99"/>
  </w:style>
  <w:style w:type="paragraph" w:styleId="44">
    <w:name w:val="Footer"/>
    <w:basedOn w:val="63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8"/>
    <w:link w:val="44"/>
    <w:uiPriority w:val="99"/>
  </w:style>
  <w:style w:type="paragraph" w:styleId="46">
    <w:name w:val="Caption"/>
    <w:basedOn w:val="637"/>
    <w:next w:val="6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8"/>
    <w:uiPriority w:val="99"/>
    <w:unhideWhenUsed/>
    <w:rPr>
      <w:vertAlign w:val="superscript"/>
    </w:rPr>
  </w:style>
  <w:style w:type="paragraph" w:styleId="178">
    <w:name w:val="endnote text"/>
    <w:basedOn w:val="63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8"/>
    <w:uiPriority w:val="99"/>
    <w:semiHidden/>
    <w:unhideWhenUsed/>
    <w:rPr>
      <w:vertAlign w:val="superscript"/>
    </w:rPr>
  </w:style>
  <w:style w:type="paragraph" w:styleId="181">
    <w:name w:val="toc 1"/>
    <w:basedOn w:val="637"/>
    <w:next w:val="63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7"/>
    <w:next w:val="63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7"/>
    <w:next w:val="63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7"/>
    <w:next w:val="63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7"/>
    <w:next w:val="63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7"/>
    <w:next w:val="63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7"/>
    <w:next w:val="63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7"/>
    <w:next w:val="63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7"/>
    <w:next w:val="63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7"/>
    <w:next w:val="637"/>
    <w:uiPriority w:val="99"/>
    <w:unhideWhenUsed/>
    <w:pPr>
      <w:spacing w:after="0" w:afterAutospacing="0"/>
    </w:pPr>
  </w:style>
  <w:style w:type="paragraph" w:styleId="637" w:default="1">
    <w:name w:val="Normal"/>
    <w:qFormat/>
  </w:style>
  <w:style w:type="character" w:styleId="638" w:default="1">
    <w:name w:val="Default Paragraph Font"/>
    <w:uiPriority w:val="1"/>
    <w:semiHidden/>
    <w:unhideWhenUsed/>
  </w:style>
  <w:style w:type="table" w:styleId="63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0" w:default="1">
    <w:name w:val="No List"/>
    <w:uiPriority w:val="99"/>
    <w:semiHidden/>
    <w:unhideWhenUsed/>
  </w:style>
  <w:style w:type="paragraph" w:styleId="641">
    <w:name w:val="List Paragraph"/>
    <w:basedOn w:val="637"/>
    <w:uiPriority w:val="34"/>
    <w:qFormat/>
    <w:pPr>
      <w:contextualSpacing/>
      <w:ind w:left="720"/>
    </w:pPr>
  </w:style>
  <w:style w:type="character" w:styleId="642">
    <w:name w:val="Strong"/>
    <w:basedOn w:val="638"/>
    <w:uiPriority w:val="22"/>
    <w:qFormat/>
    <w:rPr>
      <w:b/>
      <w:bCs/>
    </w:rPr>
  </w:style>
  <w:style w:type="table" w:styleId="643">
    <w:name w:val="Table Grid"/>
    <w:basedOn w:val="63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44" w:customStyle="1">
    <w:name w:val="ds-markdown-paragraph"/>
    <w:basedOn w:val="63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Анастасия Метелева</cp:lastModifiedBy>
  <cp:revision>3</cp:revision>
  <dcterms:created xsi:type="dcterms:W3CDTF">2026-02-14T13:58:00Z</dcterms:created>
  <dcterms:modified xsi:type="dcterms:W3CDTF">2026-02-14T17:47:21Z</dcterms:modified>
</cp:coreProperties>
</file>