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669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68"/>
      </w:tblGrid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Тема проекта</w:t>
            </w:r>
            <w:r/>
          </w:p>
        </w:tc>
        <w:tc>
          <w:tcPr>
            <w:tcW w:w="4668" w:type="dxa"/>
            <w:textDirection w:val="lrTb"/>
            <w:noWrap w:val="false"/>
          </w:tcPr>
          <w:p>
            <w:r>
              <w:t xml:space="preserve">Модернизация клиентских процессов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Категория системы</w:t>
            </w:r>
            <w:r/>
          </w:p>
        </w:tc>
        <w:tc>
          <w:tcPr>
            <w:tcW w:w="4668" w:type="dxa"/>
            <w:textDirection w:val="lrTb"/>
            <w:noWrap w:val="false"/>
          </w:tcPr>
          <w:p>
            <w:r>
              <w:t xml:space="preserve">Сайт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Заказчик</w:t>
            </w:r>
            <w:r/>
          </w:p>
        </w:tc>
        <w:tc>
          <w:tcPr>
            <w:tcW w:w="4668" w:type="dxa"/>
            <w:textDirection w:val="lrTb"/>
            <w:noWrap w:val="false"/>
          </w:tcPr>
          <w:p>
            <w:r>
              <w:t xml:space="preserve">EcoLease</w:t>
            </w:r>
            <w:r>
              <w:t xml:space="preserve"> </w:t>
            </w:r>
            <w:r>
              <w:t xml:space="preserve">Solutions</w:t>
            </w:r>
            <w:r>
              <w:t xml:space="preserve"> </w:t>
            </w:r>
            <w:r>
              <w:t xml:space="preserve">Ltd</w:t>
            </w:r>
            <w:r>
              <w:t xml:space="preserve">.</w:t>
            </w:r>
            <w:r/>
          </w:p>
        </w:tc>
      </w:tr>
      <w:tr>
        <w:tblPrEx/>
        <w:trPr/>
        <w:tc>
          <w:tcPr>
            <w:gridSpan w:val="2"/>
            <w:tcW w:w="9345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Настоящая ситуация</w:t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Деятельность, которую хочется улучшить</w:t>
            </w:r>
            <w:r/>
          </w:p>
        </w:tc>
        <w:tc>
          <w:tcPr>
            <w:tcW w:w="466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2"/>
              </w:numPr>
            </w:pPr>
            <w:r>
              <w:t xml:space="preserve">Процессы взаимодействия компании с клиентами</w:t>
            </w:r>
            <w:r/>
          </w:p>
          <w:p>
            <w:pPr>
              <w:pStyle w:val="670"/>
              <w:numPr>
                <w:ilvl w:val="0"/>
                <w:numId w:val="2"/>
              </w:numPr>
            </w:pPr>
            <w:r>
              <w:t xml:space="preserve">Увеличение доли клиентов</w:t>
            </w:r>
            <w:r/>
          </w:p>
          <w:p>
            <w:pPr>
              <w:pStyle w:val="670"/>
              <w:numPr>
                <w:ilvl w:val="0"/>
                <w:numId w:val="2"/>
              </w:numPr>
            </w:pPr>
            <w:r>
              <w:t xml:space="preserve">Увеличение выручки</w:t>
            </w:r>
            <w:r/>
          </w:p>
          <w:p>
            <w:pPr>
              <w:pStyle w:val="670"/>
              <w:numPr>
                <w:ilvl w:val="0"/>
                <w:numId w:val="2"/>
              </w:numPr>
            </w:pPr>
            <w:r>
              <w:t xml:space="preserve">Автоматизация процессов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Заинтересованные лица</w:t>
            </w:r>
            <w:bookmarkStart w:id="0" w:name="_GoBack"/>
            <w:r/>
            <w:bookmarkEnd w:id="0"/>
            <w:r/>
            <w:r/>
          </w:p>
        </w:tc>
        <w:tc>
          <w:tcPr>
            <w:tcW w:w="466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1"/>
              </w:numPr>
            </w:pPr>
            <w:r>
              <w:t xml:space="preserve">Владелец компании</w:t>
            </w:r>
            <w:r>
              <w:t xml:space="preserve"> </w:t>
            </w:r>
            <w:r>
              <w:rPr>
                <w:lang w:val="en-US"/>
              </w:rPr>
              <w:t xml:space="preserve">EcoLesase</w:t>
            </w:r>
            <w:r/>
          </w:p>
          <w:p>
            <w:pPr>
              <w:pStyle w:val="670"/>
              <w:numPr>
                <w:ilvl w:val="0"/>
                <w:numId w:val="1"/>
              </w:numPr>
            </w:pPr>
            <w:r>
              <w:t xml:space="preserve">Рустам </w:t>
            </w:r>
            <w:r>
              <w:t xml:space="preserve">Ибрагимович</w:t>
            </w:r>
            <w:r>
              <w:t xml:space="preserve"> (Заместитель директора по ИТ)</w:t>
            </w:r>
            <w:r/>
          </w:p>
          <w:p>
            <w:pPr>
              <w:pStyle w:val="670"/>
              <w:numPr>
                <w:ilvl w:val="0"/>
                <w:numId w:val="1"/>
              </w:numPr>
            </w:pPr>
            <w:r>
              <w:t xml:space="preserve">Финансовый директор</w:t>
            </w:r>
            <w:r/>
          </w:p>
          <w:p>
            <w:pPr>
              <w:pStyle w:val="670"/>
              <w:numPr>
                <w:ilvl w:val="0"/>
                <w:numId w:val="1"/>
              </w:numPr>
            </w:pPr>
            <w:r>
              <w:t xml:space="preserve">Бухгалтерия</w:t>
            </w:r>
            <w:r/>
          </w:p>
          <w:p>
            <w:pPr>
              <w:pStyle w:val="670"/>
              <w:numPr>
                <w:ilvl w:val="0"/>
                <w:numId w:val="1"/>
              </w:numPr>
            </w:pPr>
            <w:r>
              <w:t xml:space="preserve">Отдел обслуживания клиентов и маркетинга</w:t>
            </w:r>
            <w:r/>
          </w:p>
          <w:p>
            <w:pPr>
              <w:pStyle w:val="670"/>
              <w:numPr>
                <w:ilvl w:val="0"/>
                <w:numId w:val="1"/>
              </w:numPr>
            </w:pPr>
            <w:r>
              <w:t xml:space="preserve">Отдел ИТ</w:t>
            </w:r>
            <w:r/>
          </w:p>
          <w:p>
            <w:pPr>
              <w:pStyle w:val="670"/>
              <w:numPr>
                <w:ilvl w:val="0"/>
                <w:numId w:val="1"/>
              </w:numPr>
            </w:pPr>
            <w:r>
              <w:t xml:space="preserve">Отдел договоров</w:t>
            </w:r>
            <w:r/>
          </w:p>
          <w:p>
            <w:pPr>
              <w:pStyle w:val="670"/>
              <w:numPr>
                <w:ilvl w:val="0"/>
                <w:numId w:val="1"/>
              </w:numPr>
            </w:pPr>
            <w:r>
              <w:t xml:space="preserve">Клиенты (ЮЛ и ФЛ)</w:t>
            </w:r>
            <w:r/>
          </w:p>
          <w:p>
            <w:pPr>
              <w:pStyle w:val="670"/>
              <w:numPr>
                <w:ilvl w:val="0"/>
                <w:numId w:val="1"/>
              </w:numPr>
            </w:pPr>
            <w:r>
              <w:t xml:space="preserve">Команда аналитиков и архитекторов 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Текущее решение</w:t>
            </w:r>
            <w:r/>
          </w:p>
        </w:tc>
        <w:tc>
          <w:tcPr>
            <w:tcW w:w="466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3"/>
              </w:numPr>
            </w:pPr>
            <w:r>
              <w:t xml:space="preserve">Ручная реализация процессов.</w:t>
            </w:r>
            <w:r/>
          </w:p>
          <w:p>
            <w:pPr>
              <w:pStyle w:val="670"/>
              <w:numPr>
                <w:ilvl w:val="0"/>
                <w:numId w:val="3"/>
              </w:numPr>
            </w:pPr>
            <w:r>
              <w:t xml:space="preserve">Взаимодействие с клиентом без единой информационной системы.</w:t>
            </w:r>
            <w:r/>
          </w:p>
          <w:p>
            <w:pPr>
              <w:pStyle w:val="670"/>
              <w:numPr>
                <w:ilvl w:val="0"/>
                <w:numId w:val="3"/>
              </w:numPr>
            </w:pPr>
            <w:r>
              <w:t xml:space="preserve">Работа с клиентами без централизованного сбора информации о</w:t>
            </w:r>
            <w:r>
              <w:t xml:space="preserve"> них</w:t>
            </w:r>
            <w:r>
              <w:t xml:space="preserve">.</w:t>
            </w:r>
            <w:r/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r>
              <w:t xml:space="preserve">Существующие проблемы</w:t>
            </w:r>
            <w:r/>
          </w:p>
        </w:tc>
        <w:tc>
          <w:tcPr>
            <w:tcW w:w="466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4"/>
              </w:numPr>
            </w:pPr>
            <w:r>
              <w:t xml:space="preserve">Повышенная нагрузка на сотрудников.</w:t>
            </w:r>
            <w:r/>
          </w:p>
          <w:p>
            <w:pPr>
              <w:pStyle w:val="670"/>
              <w:numPr>
                <w:ilvl w:val="0"/>
                <w:numId w:val="4"/>
              </w:numPr>
            </w:pPr>
            <w:r>
              <w:t xml:space="preserve">Потеря</w:t>
            </w:r>
            <w:r>
              <w:t xml:space="preserve"> клиентов в пользу более технологически продвинутых конкурентов</w:t>
            </w:r>
            <w:r>
              <w:t xml:space="preserve">.</w:t>
            </w:r>
            <w:r/>
          </w:p>
          <w:p>
            <w:pPr>
              <w:pStyle w:val="670"/>
              <w:numPr>
                <w:ilvl w:val="0"/>
                <w:numId w:val="4"/>
              </w:numPr>
            </w:pPr>
            <w:r>
              <w:t xml:space="preserve">Неоптимизированные процессы.</w:t>
            </w:r>
            <w:r/>
          </w:p>
        </w:tc>
      </w:tr>
      <w:tr>
        <w:tblPrEx/>
        <w:trPr/>
        <w:tc>
          <w:tcPr>
            <w:gridSpan w:val="2"/>
            <w:tcW w:w="9345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Целевая ситуация или для чего создается система</w:t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 xml:space="preserve">Цели для заказчика</w:t>
            </w:r>
            <w:r>
              <w:rPr>
                <w:highlight w:val="none"/>
              </w:rPr>
            </w:r>
          </w:p>
        </w:tc>
        <w:tc>
          <w:tcPr>
            <w:tcW w:w="466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5"/>
              </w:numPr>
              <w:rPr>
                <w:highlight w:val="none"/>
              </w:rPr>
            </w:pPr>
            <w:r>
              <w:rPr>
                <w:highlight w:val="none"/>
              </w:rPr>
              <w:t xml:space="preserve">Создать единый цифровой канал (Личный кабинет) </w:t>
            </w:r>
            <w:r>
              <w:rPr>
                <w:highlight w:val="none"/>
              </w:rPr>
              <w:t xml:space="preserve">взаимодействия, обеспечивающий прозрачность информации и снижение нагрузки сотрудников</w:t>
            </w:r>
            <w:r>
              <w:rPr>
                <w:highlight w:val="none"/>
              </w:rPr>
              <w:t xml:space="preserve">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5"/>
              </w:numPr>
              <w:rPr>
                <w:highlight w:val="none"/>
              </w:rPr>
            </w:pPr>
            <w:r>
              <w:rPr>
                <w:highlight w:val="none"/>
              </w:rPr>
              <w:t xml:space="preserve">Повысить качество сервиса и выручку за счёт анализа клиентских данных</w:t>
            </w:r>
            <w:r>
              <w:rPr>
                <w:highlight w:val="none"/>
              </w:rPr>
              <w:t xml:space="preserve">.</w:t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t xml:space="preserve">Назначение и цели для пользователя</w:t>
            </w:r>
            <w:r>
              <w:rPr>
                <w:highlight w:val="yellow"/>
              </w:rPr>
            </w:r>
          </w:p>
        </w:tc>
        <w:tc>
          <w:tcPr>
            <w:tcW w:w="466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6"/>
              </w:numPr>
            </w:pPr>
            <w:r>
              <w:t xml:space="preserve">Клиенты – единый канал для удобного взаимодействия с компанией.</w:t>
            </w:r>
            <w:r/>
          </w:p>
          <w:p>
            <w:pPr>
              <w:pStyle w:val="670"/>
              <w:numPr>
                <w:ilvl w:val="0"/>
                <w:numId w:val="6"/>
              </w:numPr>
            </w:pPr>
            <w:r>
              <w:t xml:space="preserve">Клиентские менеджеры и отдел договоров – снижение доли ручных операций, прозрачность процессов.</w:t>
            </w:r>
            <w:r/>
          </w:p>
          <w:p>
            <w:pPr>
              <w:pStyle w:val="670"/>
              <w:numPr>
                <w:ilvl w:val="0"/>
                <w:numId w:val="6"/>
              </w:numPr>
            </w:pPr>
            <w:r>
              <w:t xml:space="preserve">Руководство, маркетинговый отдел – прозрачная аналитика для стратегических решений.</w:t>
            </w:r>
            <w:r/>
          </w:p>
        </w:tc>
      </w:tr>
      <w:tr>
        <w:tblPrEx/>
        <w:trPr>
          <w:trHeight w:val="307"/>
        </w:trPr>
        <w:tc>
          <w:tcPr>
            <w:gridSpan w:val="2"/>
            <w:tcW w:w="9345" w:type="dxa"/>
            <w:textDirection w:val="lrTb"/>
            <w:noWrap w:val="false"/>
          </w:tcPr>
          <w:p>
            <w:pPr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 xml:space="preserve">Концепция решения</w:t>
            </w:r>
            <w:r>
              <w:rPr>
                <w:b/>
                <w:highlight w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 xml:space="preserve">Пользователи системы (непосредственные)</w:t>
            </w:r>
            <w:r>
              <w:rPr>
                <w:highlight w:val="none"/>
              </w:rPr>
            </w:r>
          </w:p>
        </w:tc>
        <w:tc>
          <w:tcPr>
            <w:tcW w:w="466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Клиенты (внешние пользователи)</w:t>
            </w:r>
            <w:r>
              <w:rPr>
                <w:highlight w:val="none"/>
              </w:rPr>
              <w:t xml:space="preserve">: Физические лица (ФЛ), представители юридических лиц (ЮЛ).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Сотрудники (внутренние пользователи)</w:t>
            </w:r>
            <w:r>
              <w:rPr>
                <w:highlight w:val="none"/>
              </w:rPr>
              <w:t xml:space="preserve">: Клиентские менеджеры, сотрудники отдела договоров, сотрудники маркетингового отдела, администраторы системы.</w:t>
            </w:r>
            <w:r>
              <w:rPr>
                <w:highlight w:val="none"/>
              </w:rPr>
            </w:r>
          </w:p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5167"/>
        </w:trPr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 xml:space="preserve">Ключевые свойства и возможности</w:t>
            </w:r>
            <w:r>
              <w:rPr>
                <w:highlight w:val="none"/>
              </w:rPr>
            </w:r>
          </w:p>
          <w:p>
            <w:pPr>
              <w:rPr>
                <w:b/>
                <w:highlight w:val="none"/>
              </w:rPr>
            </w:pPr>
            <w:r>
              <w:rPr>
                <w:b/>
                <w:highlight w:val="none"/>
              </w:rPr>
            </w:r>
            <w:r>
              <w:rPr>
                <w:b/>
                <w:highlight w:val="none"/>
              </w:rPr>
            </w:r>
          </w:p>
        </w:tc>
        <w:tc>
          <w:tcPr>
            <w:tcW w:w="4668" w:type="dxa"/>
            <w:textDirection w:val="lrTb"/>
            <w:noWrap w:val="false"/>
          </w:tcPr>
          <w:p>
            <w:pPr>
              <w:ind w:left="0" w:firstLine="0"/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Для клиентов</w:t>
            </w:r>
            <w:r>
              <w:rPr>
                <w:highlight w:val="none"/>
              </w:rPr>
              <w:t xml:space="preserve">: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Личный профиль с актуальными контактными данными и настройками.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Просмотр детализированных графиков лизинговых платежей и истории платежей.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Онлайн-оплата счетов через интегрированный платежный шлюз (с поддержкой СБП, банковских карт).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Электронный архив документов: доступ к договорам лизинга, актам, счетам.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Подача и отслеживание статуса заявки на лизинг в реальном времени.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Система уведомлений (email, SMS) о предстоящих платежах, новых документах, смене статусов.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Канал обратной связи и поддержки (тикеты, чат).</w:t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W w:w="4677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4668" w:type="dxa"/>
            <w:vMerge w:val="restart"/>
            <w:textDirection w:val="lrTb"/>
            <w:noWrap w:val="false"/>
          </w:tcPr>
          <w:p>
            <w:pPr>
              <w:ind w:left="0" w:firstLine="0"/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Для сотрудников</w:t>
            </w:r>
            <w:r>
              <w:rPr>
                <w:highlight w:val="none"/>
              </w:rPr>
              <w:t xml:space="preserve">: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Единая панель управления с видимостью закрепленных клиентов и их сделок.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Инструменты для обработки входящих заявок, изменения статусов, коммуникации с клиентом внутри системы.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Механизм загрузки и согласования документов с клиентом (с опцией ЭП).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Доступ к базе знаний и шаблонам документов.</w:t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 xml:space="preserve">Смежные системы, с которыми будет происходить обмен данными</w:t>
            </w:r>
            <w:r>
              <w:rPr>
                <w:b/>
                <w:highlight w:val="none"/>
              </w:rPr>
            </w:r>
          </w:p>
        </w:tc>
        <w:tc>
          <w:tcPr>
            <w:tcW w:w="466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Бухгалтерская система 1С</w:t>
            </w:r>
            <w:r>
              <w:rPr>
                <w:highlight w:val="none"/>
              </w:rPr>
              <w:t xml:space="preserve">: Основной источник данных для формирования графиков платежей, получения информации о договорах и фактических оплатах. Необходима односторонняя или двусторонняя синхронизация.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Платежный шлюз</w:t>
            </w:r>
            <w:r>
              <w:rPr>
                <w:highlight w:val="none"/>
              </w:rPr>
              <w:t xml:space="preserve">: Система для безопасного приема онлайн-платежей от клиентов. ЛК формирует запрос на платеж, шлюз возвращает статус его выполнения.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CRM-система (потенциально)</w:t>
            </w:r>
            <w:r>
              <w:rPr>
                <w:highlight w:val="none"/>
              </w:rPr>
              <w:t xml:space="preserve">: Для передачи данных о новых лидах (заявках) из ЛК и обогащения профилей клиентов историей взаимодействий.</w:t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Система юридически значимого ЭДО (на перспективу)</w:t>
            </w:r>
            <w:r>
              <w:rPr>
                <w:highlight w:val="none"/>
              </w:rPr>
              <w:t xml:space="preserve">: Для организации полного цикла электронного подписания договоров с контрагентами.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 xml:space="preserve">Системы конкуренты и аналоги</w:t>
            </w:r>
            <w:r>
              <w:rPr>
                <w:b/>
                <w:highlight w:val="none"/>
              </w:rPr>
            </w:r>
          </w:p>
          <w:p>
            <w:pPr>
              <w:rPr>
                <w:b/>
                <w:highlight w:val="none"/>
              </w:rPr>
            </w:pPr>
            <w:r>
              <w:rPr>
                <w:b/>
                <w:highlight w:val="none"/>
              </w:rPr>
            </w:r>
            <w:r>
              <w:rPr>
                <w:b/>
                <w:highlight w:val="none"/>
              </w:rPr>
            </w:r>
          </w:p>
        </w:tc>
        <w:tc>
          <w:tcPr>
            <w:tcW w:w="4668" w:type="dxa"/>
            <w:textDirection w:val="lrTb"/>
            <w:noWrap w:val="false"/>
          </w:tcPr>
          <w:p>
            <w:pPr>
              <w:ind w:left="0" w:firstLine="0"/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Прямые конкуренты на рынке лизинга</w:t>
            </w:r>
            <w:r>
              <w:rPr>
                <w:highlight w:val="none"/>
              </w:rPr>
              <w:t xml:space="preserve">: </w:t>
            </w:r>
            <w:r>
              <w:rPr>
                <w:highlight w:val="none"/>
                <w14:ligatures w14:val="none"/>
              </w:rPr>
            </w:r>
          </w:p>
          <w:p>
            <w:pPr>
              <w:pStyle w:val="670"/>
              <w:numPr>
                <w:ilvl w:val="0"/>
                <w:numId w:val="13"/>
              </w:numPr>
              <w:rPr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Крупные федеральные лизинговые компании (например, «ВТБ Лизинг», «Сбербанк Лизинг»), которые уже имеют развитые клиентские личные кабинеты с функционалом подачи заявок, электронного документооборота и аналитики.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blPrEx/>
        <w:trPr>
          <w:trHeight w:val="3605"/>
        </w:trPr>
        <w:tc>
          <w:tcPr>
            <w:tcW w:w="4677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4668" w:type="dxa"/>
            <w:vMerge w:val="restart"/>
            <w:textDirection w:val="lrTb"/>
            <w:noWrap w:val="false"/>
          </w:tcPr>
          <w:p>
            <w:pPr>
              <w:ind w:left="0" w:firstLine="0"/>
              <w:rPr>
                <w:sz w:val="24"/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Косвенные аналоги в смежных отраслях</w:t>
            </w:r>
            <w:r>
              <w:rPr>
                <w:highlight w:val="none"/>
              </w:rPr>
              <w:t xml:space="preserve">: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sz w:val="24"/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Биллинг-платформы</w:t>
            </w:r>
            <w:r>
              <w:rPr>
                <w:highlight w:val="none"/>
              </w:rPr>
              <w:t xml:space="preserve"> (например, «Биллинг 24»): Аналоги по глубине проработки финансового функционала, прозрачности расчетов и интеграциям.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sz w:val="24"/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Коробочные BI-решения для лизинга</w:t>
            </w:r>
            <w:r>
              <w:rPr>
                <w:highlight w:val="none"/>
              </w:rPr>
              <w:t xml:space="preserve"> (например, «Business-BI for Leasing»): Аналоги по предоставлению аналитики и управленческой отчетности для руководства компании.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70"/>
              <w:numPr>
                <w:ilvl w:val="0"/>
                <w:numId w:val="6"/>
              </w:numPr>
              <w:rPr>
                <w:sz w:val="24"/>
                <w:highlight w:val="non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  <w:t xml:space="preserve">Отраслевые порталы госуслуг</w:t>
            </w:r>
            <w:r>
              <w:rPr>
                <w:highlight w:val="none"/>
              </w:rPr>
              <w:t xml:space="preserve">: Аналоги по удобству и доступности онлайн-сервисов для конечных пользователей.</w:t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 xml:space="preserve">Необходимые отчеты</w:t>
            </w:r>
            <w:r>
              <w:rPr>
                <w:b/>
                <w:highlight w:val="none"/>
              </w:rPr>
            </w:r>
          </w:p>
          <w:p>
            <w:pPr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r/>
            <w:r/>
          </w:p>
        </w:tc>
        <w:tc>
          <w:tcPr>
            <w:tcW w:w="4668" w:type="dxa"/>
            <w:textDirection w:val="lrTb"/>
            <w:noWrap w:val="false"/>
          </w:tcPr>
          <w:p>
            <w:pPr>
              <w:ind w:left="0" w:firstLine="0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Операционные отчеты</w:t>
            </w:r>
            <w:r>
              <w:t xml:space="preserve">:</w:t>
            </w:r>
            <w:r/>
          </w:p>
          <w:p>
            <w:pPr>
              <w:pStyle w:val="670"/>
              <w:numPr>
                <w:ilvl w:val="0"/>
                <w:numId w:val="6"/>
              </w:numPr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Отчет по активности клиентов в ЛК (количество входов, запросов, успешных оплат).</w:t>
            </w:r>
            <w:r/>
          </w:p>
          <w:p>
            <w:pPr>
              <w:pStyle w:val="670"/>
              <w:numPr>
                <w:ilvl w:val="0"/>
                <w:numId w:val="6"/>
              </w:numPr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Отчет по статусам и воронке обработки заявок на лизинг.</w:t>
            </w:r>
            <w:r/>
          </w:p>
          <w:p>
            <w:pPr>
              <w:pStyle w:val="670"/>
              <w:numPr>
                <w:ilvl w:val="0"/>
                <w:numId w:val="6"/>
              </w:numPr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Журнал действий пользователей (логи) для аудита безопасности.</w:t>
            </w:r>
            <w:r/>
            <w:r/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4677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4668" w:type="dxa"/>
            <w:vMerge w:val="restart"/>
            <w:textDirection w:val="lrTb"/>
            <w:noWrap w:val="false"/>
          </w:tcPr>
          <w:p>
            <w:pPr>
              <w:ind w:left="0" w:firstLine="0"/>
              <w:rPr>
                <w:sz w:val="24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Финансовые отчеты</w:t>
            </w:r>
            <w:r>
              <w:t xml:space="preserve">:</w:t>
            </w:r>
            <w:r/>
            <w:r/>
          </w:p>
          <w:p>
            <w:pPr>
              <w:pStyle w:val="670"/>
              <w:numPr>
                <w:ilvl w:val="0"/>
                <w:numId w:val="6"/>
              </w:numPr>
              <w:rPr>
                <w:sz w:val="24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Сводный отчет по платежам (план/факт) в разрезе клиентов и договоров.</w:t>
            </w:r>
            <w:r/>
            <w:r/>
          </w:p>
          <w:p>
            <w:pPr>
              <w:pStyle w:val="670"/>
              <w:numPr>
                <w:ilvl w:val="0"/>
                <w:numId w:val="6"/>
              </w:numPr>
              <w:rPr>
                <w:sz w:val="24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Отчет по задолженностям.</w:t>
            </w:r>
            <w:r/>
            <w:r/>
            <w:r/>
            <w:r/>
            <w:r>
              <w:rPr>
                <w14:ligatures w14:val="none"/>
              </w:rPr>
            </w:r>
          </w:p>
        </w:tc>
      </w:tr>
      <w:tr>
        <w:tblPrEx/>
        <w:trPr>
          <w:trHeight w:val="539"/>
        </w:trPr>
        <w:tc>
          <w:tcPr>
            <w:tcW w:w="4677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4668" w:type="dxa"/>
            <w:textDirection w:val="lrTb"/>
            <w:noWrap w:val="false"/>
          </w:tcPr>
          <w:p>
            <w:pPr>
              <w:ind w:left="0" w:firstLine="0"/>
              <w:rPr>
                <w:sz w:val="24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Аналитические отчеты и дашборды</w:t>
            </w:r>
            <w:r>
              <w:t xml:space="preserve">:</w:t>
            </w:r>
            <w:r/>
            <w:r/>
          </w:p>
          <w:p>
            <w:pPr>
              <w:pStyle w:val="670"/>
              <w:numPr>
                <w:ilvl w:val="0"/>
                <w:numId w:val="6"/>
              </w:numPr>
              <w:rPr>
                <w:sz w:val="24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Дашборд для руководства</w:t>
            </w:r>
            <w:r>
              <w:t xml:space="preserve">: Ключевые показатели портфеля (объем, динамика), NPS (индекс лояльности), конверсия заявок.</w:t>
            </w:r>
            <w:r/>
            <w:r/>
          </w:p>
          <w:p>
            <w:pPr>
              <w:pStyle w:val="670"/>
              <w:numPr>
                <w:ilvl w:val="0"/>
                <w:numId w:val="6"/>
              </w:numPr>
              <w:rPr>
                <w:sz w:val="24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Дашборд для отдела продаж/маркетинга</w:t>
            </w:r>
            <w:r>
              <w:t xml:space="preserve">: Анализ клиентской базы, эффективности каналов привлечения, кросс-продаж.</w:t>
            </w:r>
            <w:r/>
            <w:r/>
          </w:p>
          <w:p>
            <w:pPr>
              <w:pStyle w:val="670"/>
              <w:numPr>
                <w:ilvl w:val="0"/>
                <w:numId w:val="6"/>
              </w:numPr>
              <w:rPr>
                <w:sz w:val="24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Отчеты по качеству обслуживания</w:t>
            </w:r>
            <w:r>
              <w:t xml:space="preserve">: Время реакции на запросы клиентов, удовлетворенность по результатам опросов.</w:t>
            </w:r>
            <w:r/>
            <w:r/>
            <w:r/>
            <w:r/>
            <w:r>
              <w:rPr>
                <w14:ligatures w14:val="none"/>
              </w:rPr>
            </w:r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65"/>
    <w:next w:val="66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66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65"/>
    <w:next w:val="66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6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65"/>
    <w:next w:val="66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6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65"/>
    <w:next w:val="66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6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65"/>
    <w:next w:val="66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6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65"/>
    <w:next w:val="66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6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65"/>
    <w:next w:val="66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6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65"/>
    <w:next w:val="66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6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65"/>
    <w:next w:val="66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6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65"/>
    <w:next w:val="66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66"/>
    <w:link w:val="34"/>
    <w:uiPriority w:val="10"/>
    <w:rPr>
      <w:sz w:val="48"/>
      <w:szCs w:val="48"/>
    </w:rPr>
  </w:style>
  <w:style w:type="paragraph" w:styleId="36">
    <w:name w:val="Subtitle"/>
    <w:basedOn w:val="665"/>
    <w:next w:val="66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66"/>
    <w:link w:val="36"/>
    <w:uiPriority w:val="11"/>
    <w:rPr>
      <w:sz w:val="24"/>
      <w:szCs w:val="24"/>
    </w:rPr>
  </w:style>
  <w:style w:type="paragraph" w:styleId="38">
    <w:name w:val="Quote"/>
    <w:basedOn w:val="665"/>
    <w:next w:val="66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65"/>
    <w:next w:val="66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66"/>
    <w:link w:val="671"/>
    <w:uiPriority w:val="99"/>
  </w:style>
  <w:style w:type="character" w:styleId="45">
    <w:name w:val="Footer Char"/>
    <w:basedOn w:val="666"/>
    <w:link w:val="673"/>
    <w:uiPriority w:val="99"/>
  </w:style>
  <w:style w:type="paragraph" w:styleId="46">
    <w:name w:val="Caption"/>
    <w:basedOn w:val="665"/>
    <w:next w:val="66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673"/>
    <w:uiPriority w:val="99"/>
  </w:style>
  <w:style w:type="table" w:styleId="49">
    <w:name w:val="Table Grid Light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6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66"/>
    <w:uiPriority w:val="99"/>
    <w:unhideWhenUsed/>
    <w:rPr>
      <w:vertAlign w:val="superscript"/>
    </w:rPr>
  </w:style>
  <w:style w:type="paragraph" w:styleId="178">
    <w:name w:val="endnote text"/>
    <w:basedOn w:val="66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66"/>
    <w:uiPriority w:val="99"/>
    <w:semiHidden/>
    <w:unhideWhenUsed/>
    <w:rPr>
      <w:vertAlign w:val="superscript"/>
    </w:rPr>
  </w:style>
  <w:style w:type="paragraph" w:styleId="181">
    <w:name w:val="toc 1"/>
    <w:basedOn w:val="665"/>
    <w:next w:val="66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65"/>
    <w:next w:val="66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65"/>
    <w:next w:val="66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65"/>
    <w:next w:val="66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65"/>
    <w:next w:val="66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65"/>
    <w:next w:val="66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65"/>
    <w:next w:val="66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65"/>
    <w:next w:val="66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65"/>
    <w:next w:val="66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65"/>
    <w:next w:val="665"/>
    <w:uiPriority w:val="99"/>
    <w:unhideWhenUsed/>
    <w:pPr>
      <w:spacing w:after="0" w:afterAutospacing="0"/>
    </w:pPr>
  </w:style>
  <w:style w:type="paragraph" w:styleId="665" w:default="1">
    <w:name w:val="Normal"/>
    <w:qFormat/>
  </w:style>
  <w:style w:type="character" w:styleId="666" w:default="1">
    <w:name w:val="Default Paragraph Font"/>
    <w:uiPriority w:val="1"/>
    <w:semiHidden/>
    <w:unhideWhenUsed/>
  </w:style>
  <w:style w:type="table" w:styleId="66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8" w:default="1">
    <w:name w:val="No List"/>
    <w:uiPriority w:val="99"/>
    <w:semiHidden/>
    <w:unhideWhenUsed/>
  </w:style>
  <w:style w:type="table" w:styleId="669">
    <w:name w:val="Table Grid"/>
    <w:basedOn w:val="667"/>
    <w:uiPriority w:val="3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670">
    <w:name w:val="List Paragraph"/>
    <w:basedOn w:val="665"/>
    <w:uiPriority w:val="34"/>
    <w:qFormat/>
    <w:pPr>
      <w:contextualSpacing/>
      <w:ind w:left="720"/>
    </w:pPr>
  </w:style>
  <w:style w:type="paragraph" w:styleId="671">
    <w:name w:val="Header"/>
    <w:basedOn w:val="665"/>
    <w:link w:val="67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72" w:customStyle="1">
    <w:name w:val="Верхний колонтитул Знак"/>
    <w:basedOn w:val="666"/>
    <w:link w:val="671"/>
    <w:uiPriority w:val="99"/>
  </w:style>
  <w:style w:type="paragraph" w:styleId="673">
    <w:name w:val="Footer"/>
    <w:basedOn w:val="665"/>
    <w:link w:val="67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74" w:customStyle="1">
    <w:name w:val="Нижний колонтитул Знак"/>
    <w:basedOn w:val="666"/>
    <w:link w:val="673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Юлия Квицинская</cp:lastModifiedBy>
  <cp:revision>3</cp:revision>
  <dcterms:created xsi:type="dcterms:W3CDTF">2026-01-20T05:14:00Z</dcterms:created>
  <dcterms:modified xsi:type="dcterms:W3CDTF">2026-01-30T08:45:51Z</dcterms:modified>
</cp:coreProperties>
</file>