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Liberation Sans" w:hAnsi="Liberation Sans" w:eastAsia="Liberation Sans" w:cs="Liberation Sans"/>
          <w:b/>
          <w:bCs/>
          <w:color w:val="000000"/>
          <w:sz w:val="28"/>
          <w:szCs w:val="28"/>
          <w:highlight w:val="none"/>
        </w:rPr>
      </w:pPr>
      <w:r>
        <w:rPr>
          <w:rFonts w:ascii="Liberation Sans" w:hAnsi="Liberation Sans" w:eastAsia="Liberation Sans" w:cs="Liberation Sans"/>
          <w:b/>
          <w:bCs/>
          <w:color w:val="000000"/>
          <w:sz w:val="28"/>
          <w:szCs w:val="28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8"/>
          <w:szCs w:val="28"/>
          <w:highlight w:val="none"/>
        </w:rPr>
        <w:t xml:space="preserve">Анализ контекста и концепции проекта</w:t>
      </w:r>
      <w:r>
        <w:rPr>
          <w:rFonts w:ascii="Liberation Sans" w:hAnsi="Liberation Sans" w:eastAsia="Liberation Sans" w:cs="Liberation Sans"/>
          <w:b/>
          <w:bCs/>
          <w:color w:val="000000"/>
          <w:sz w:val="28"/>
          <w:szCs w:val="28"/>
          <w:highlight w:val="none"/>
        </w:rPr>
      </w:r>
    </w:p>
    <w:p>
      <w:pPr>
        <w:ind w:right="0"/>
        <w:rPr>
          <w:rFonts w:ascii="Liberation Sans" w:hAnsi="Liberation Sans" w:eastAsia="Liberation Sans" w:cs="Liberation Sans"/>
          <w:bCs/>
          <w:i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i/>
          <w:iCs/>
          <w:color w:val="000000"/>
          <w:sz w:val="27"/>
          <w:highlight w:val="none"/>
        </w:rPr>
        <w:t xml:space="preserve">Основные характеристики и направления деятельности компании </w:t>
      </w:r>
      <w:r>
        <w:rPr>
          <w:rFonts w:ascii="Liberation Sans" w:hAnsi="Liberation Sans" w:eastAsia="Liberation Sans" w:cs="Liberation Sans"/>
          <w:i/>
          <w:iCs/>
          <w:color w:val="000000"/>
          <w:sz w:val="27"/>
        </w:rPr>
        <w:t xml:space="preserve">EcoLease Solutions Ltd:</w:t>
      </w:r>
      <w:r>
        <w:rPr>
          <w:rFonts w:ascii="Liberation Sans" w:hAnsi="Liberation Sans" w:eastAsia="Liberation Sans" w:cs="Liberation Sans"/>
          <w:bCs/>
          <w:i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bCs/>
          <w:i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Л</w:t>
      </w:r>
      <w:r>
        <w:rPr>
          <w:rFonts w:ascii="Liberation Sans" w:hAnsi="Liberation Sans" w:eastAsia="Liberation Sans" w:cs="Liberation Sans"/>
          <w:color w:val="000000"/>
          <w:sz w:val="27"/>
          <w:highlight w:val="white"/>
        </w:rPr>
        <w:t xml:space="preserve">изинговая компания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7"/>
          <w:highlight w:val="none"/>
        </w:rPr>
        <w:t xml:space="preserve">Год основания: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 2005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7"/>
          <w:highlight w:val="none"/>
        </w:rPr>
        <w:t xml:space="preserve">Основатель: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 Антон Корнев.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7"/>
          <w:highlight w:val="none"/>
        </w:rPr>
        <w:t xml:space="preserve">Сотрудники: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 86 человек.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7"/>
          <w:highlight w:val="none"/>
        </w:rPr>
        <w:t xml:space="preserve">Ценности: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экологичность, долгосрочные отношения с клиентами, инновации, надёжность, профессионализм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Филиалы в двух городах.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Лидирует в индустрии.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Владеет лизинговым портфелем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 значимой региональной лизинговой компании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7"/>
          <w:highlight w:val="white"/>
        </w:rPr>
        <w:t xml:space="preserve">Оборот компании: </w:t>
      </w:r>
      <w:r>
        <w:rPr>
          <w:rFonts w:ascii="Liberation Sans" w:hAnsi="Liberation Sans" w:eastAsia="Liberation Sans" w:cs="Liberation Sans"/>
          <w:color w:val="000000"/>
          <w:sz w:val="27"/>
          <w:highlight w:val="white"/>
        </w:rPr>
        <w:t xml:space="preserve">1 млрд. руб. в год.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7"/>
          <w:highlight w:val="none"/>
        </w:rPr>
        <w:t xml:space="preserve">Клиенты: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 500 юридических лиц, 1000 физических лиц.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7"/>
          <w:highlight w:val="none"/>
        </w:rPr>
        <w:t xml:space="preserve">Партнеры: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 6 банков партнеров, в том числе «Банк России»; 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поставщики Экологических Транспортных Средств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7"/>
          <w:highlight w:val="none"/>
        </w:rPr>
        <w:t xml:space="preserve">Бухгалтерский учет: 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ФСБУ 25/18 (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с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овременный стандарт бухгалтерского учёта для аренды и лизинга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).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7"/>
          <w:highlight w:val="none"/>
        </w:rPr>
        <w:t xml:space="preserve">Кредитный рейтинг: 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BBB- (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Надежный кредитный рейтинг, отмечается 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что у компании будет положительный денежный поток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, рисков не ожидается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).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right="0"/>
        <w:rPr>
          <w:rFonts w:ascii="Liberation Sans" w:hAnsi="Liberation Sans" w:eastAsia="Liberation Sans" w:cs="Liberation Sans"/>
          <w:b/>
          <w:bCs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7"/>
          <w:highlight w:val="none"/>
        </w:rPr>
        <w:t xml:space="preserve">Направления деятельности: </w:t>
      </w:r>
      <w:r>
        <w:rPr>
          <w:rFonts w:ascii="Liberation Sans" w:hAnsi="Liberation Sans" w:eastAsia="Liberation Sans" w:cs="Liberation Sans"/>
          <w:b/>
          <w:bCs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7"/>
          <w:szCs w:val="27"/>
          <w:highlight w:val="none"/>
        </w:rPr>
      </w:r>
    </w:p>
    <w:p>
      <w:pPr>
        <w:pStyle w:val="898"/>
        <w:numPr>
          <w:ilvl w:val="0"/>
          <w:numId w:val="1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Лизинг оборудования (широкий спектр, от офисной техники до промышленных машин). </w:t>
      </w:r>
      <w:r/>
    </w:p>
    <w:p>
      <w:pPr>
        <w:pStyle w:val="898"/>
        <w:numPr>
          <w:ilvl w:val="0"/>
          <w:numId w:val="1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Лизинг автотранспорта (индивидуальные и групповые программы лизинга автомобилей и грузовиков, в т.ч. электромобили и гибридные транспортные средства). </w:t>
      </w:r>
      <w:r/>
    </w:p>
    <w:p>
      <w:pPr>
        <w:pStyle w:val="898"/>
        <w:numPr>
          <w:ilvl w:val="0"/>
          <w:numId w:val="1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Инновационные финансовые решения (инновационные подходы к финансированию: факторинг, обратный лизинг и программы обмена оборудованием).</w:t>
      </w:r>
      <w:r/>
    </w:p>
    <w:p>
      <w:pPr>
        <w:pStyle w:val="898"/>
        <w:numPr>
          <w:ilvl w:val="0"/>
          <w:numId w:val="14"/>
        </w:numPr>
        <w:ind w:right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Лизинг недвижимости (компания выкупает жилую и коммерческую недвижимость и передает в лизинг лизингополучателям).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right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i/>
          <w:color w:val="000000"/>
          <w:sz w:val="27"/>
          <w:szCs w:val="27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i/>
          <w:iCs/>
          <w:color w:val="000000"/>
          <w:sz w:val="27"/>
          <w:highlight w:val="white"/>
        </w:rPr>
        <w:t xml:space="preserve">Контекст, в котором работает организация:</w:t>
      </w:r>
      <w:r>
        <w:rPr>
          <w:rFonts w:ascii="Liberation Sans" w:hAnsi="Liberation Sans" w:eastAsia="Liberation Sans" w:cs="Liberation Sans"/>
          <w:i/>
          <w:color w:val="000000"/>
          <w:sz w:val="27"/>
          <w:szCs w:val="27"/>
          <w:highlight w:val="white"/>
        </w:rPr>
      </w:r>
      <w:r>
        <w:rPr>
          <w:rFonts w:ascii="Liberation Sans" w:hAnsi="Liberation Sans" w:eastAsia="Liberation Sans" w:cs="Liberation Sans"/>
          <w:i/>
          <w:color w:val="000000"/>
          <w:sz w:val="27"/>
          <w:szCs w:val="27"/>
          <w:highlight w:val="whit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b/>
          <w:bCs/>
          <w:i w:val="0"/>
          <w:iCs w:val="0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i w:val="0"/>
          <w:iCs w:val="0"/>
          <w:color w:val="000000"/>
          <w:sz w:val="27"/>
          <w:highlight w:val="none"/>
        </w:rPr>
      </w:r>
      <w:r>
        <w:rPr>
          <w:rFonts w:ascii="Liberation Sans" w:hAnsi="Liberation Sans" w:eastAsia="Liberation Sans" w:cs="Liberation Sans"/>
          <w:b/>
          <w:bCs/>
          <w:i w:val="0"/>
          <w:iCs w:val="0"/>
          <w:color w:val="000000"/>
          <w:sz w:val="27"/>
          <w:highlight w:val="none"/>
        </w:rPr>
        <w:t xml:space="preserve">Внутренний контекст:</w:t>
      </w:r>
      <w:r>
        <w:rPr>
          <w:rFonts w:ascii="Liberation Sans" w:hAnsi="Liberation Sans" w:eastAsia="Liberation Sans" w:cs="Liberation Sans"/>
          <w:b/>
          <w:bCs/>
          <w:i w:val="0"/>
          <w:iCs w:val="0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b/>
          <w:bCs/>
          <w:i w:val="0"/>
          <w:iCs w:val="0"/>
          <w:color w:val="000000"/>
          <w:sz w:val="27"/>
          <w:szCs w:val="27"/>
          <w:highlight w:val="none"/>
        </w:rPr>
      </w:r>
    </w:p>
    <w:p>
      <w:pPr>
        <w:ind w:left="0" w:right="0" w:firstLine="0"/>
        <w:jc w:val="both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Внутренний контекст раскрывает </w:t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глубокую системную проблему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, где операционная неэффективность напрямую подрывает стратегические амбиции компании и «съедает» ее финансовые результаты.</w:t>
      </w:r>
      <w:r/>
    </w:p>
    <w:p>
      <w:pPr>
        <w:pStyle w:val="898"/>
        <w:numPr>
          <w:ilvl w:val="0"/>
          <w:numId w:val="32"/>
        </w:numPr>
        <w:ind w:right="0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Операционные процессы как «узкое горлышко»: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Текущие процессы (оформление сделок, обработка запросов, координация между отделами) являются преимущественно ручными, нестандартизированными и медленными. Они не масштабируются. Планируемый пятикратный рост клиентской базы в таких условиях неминуемо прив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едет к </w:t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коллапсу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— увеличатся задержки, возрастет количество ошибок, и упадет удовлетворенность как клиентов, так и сотрудников.</w:t>
      </w:r>
      <w:r/>
    </w:p>
    <w:p>
      <w:pPr>
        <w:pStyle w:val="898"/>
        <w:numPr>
          <w:ilvl w:val="0"/>
          <w:numId w:val="32"/>
        </w:numPr>
        <w:ind w:right="0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Прямые финансовые потери как симптом болезни: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Цифры, приведенные владельцем ($10,000, $20,000, $15,000, $30,000 ежемесячных потерь) — это не просто статистика. Это </w:t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количественное подтверждение неработоспособности текущей модели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. Эти средства буквально «утекают» из-за избыточных трудозатрат, потери клиентов и неоптимального использования ресурсов. Это создает мощный финансовый аргумент в пользу инвестиций в изменения.</w:t>
      </w:r>
      <w:r/>
    </w:p>
    <w:p>
      <w:pPr>
        <w:pStyle w:val="898"/>
        <w:numPr>
          <w:ilvl w:val="0"/>
          <w:numId w:val="32"/>
        </w:numPr>
        <w:ind w:right="0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Данные как неиспользуемый актив: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Компания сидит на «золотой жиле» — данных о предпочтениях своих клиентов, — но не может их эффективно использовать. Отсутствие аналитического инструментария лишает ее возможности для </w:t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проактивного управления бизнесом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, персонализации предложений и повышения среднего чека, что является прямым упущением потенциальной выгоды.</w:t>
      </w:r>
      <w:r/>
    </w:p>
    <w:p>
      <w:pPr>
        <w:pStyle w:val="898"/>
        <w:numPr>
          <w:ilvl w:val="0"/>
          <w:numId w:val="32"/>
        </w:numPr>
        <w:ind w:right="0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Стратегические амбиции против операционной реальности: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Существует явный </w:t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разрыв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между амбициозными целями роста (увеличить выручку и долю рынка на 15%) и текущим состоянием операционных процессов. Компания не сможет достичь этих целей, просто «работая усерднее» в старой системе. Требуется </w:t>
      </w: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качественная трансформация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бизнес-модели взаимодействия с клиентами.</w:t>
      </w: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709" w:right="0" w:firstLine="0"/>
        <w:jc w:val="both"/>
        <w:spacing w:before="0" w:after="0"/>
        <w:rPr>
          <w:rFonts w:ascii="Liberation Sans" w:hAnsi="Liberation Sans" w:eastAsia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b/>
          <w:bCs/>
          <w:i w:val="0"/>
          <w:iCs w:val="0"/>
          <w:color w:val="000000"/>
          <w:sz w:val="27"/>
          <w:szCs w:val="27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i w:val="0"/>
          <w:iCs w:val="0"/>
          <w:color w:val="000000"/>
          <w:sz w:val="27"/>
          <w:szCs w:val="27"/>
          <w:highlight w:val="none"/>
        </w:rPr>
        <w:t xml:space="preserve">Внешний контекст:</w:t>
      </w:r>
      <w:r>
        <w:rPr>
          <w:rFonts w:ascii="Liberation Sans" w:hAnsi="Liberation Sans" w:eastAsia="Liberation Sans" w:cs="Liberation Sans"/>
          <w:b/>
          <w:bCs/>
          <w:i w:val="0"/>
          <w:iCs w:val="0"/>
          <w:color w:val="000000"/>
          <w:sz w:val="27"/>
          <w:szCs w:val="27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bCs/>
          <w:i w:val="0"/>
          <w:iCs w:val="0"/>
          <w:color w:val="000000"/>
          <w:sz w:val="27"/>
          <w:szCs w:val="27"/>
          <w:highlight w:val="none"/>
          <w14:ligatures w14:val="none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  <w:szCs w:val="24"/>
        </w:rPr>
        <w:t xml:space="preserve">Внешний контекст для EcoLease Solutions Ltd. создает картину </w:t>
      </w:r>
      <w:r>
        <w:rPr>
          <w:rFonts w:ascii="Liberation Sans" w:hAnsi="Liberation Sans" w:eastAsia="Liberation Sans" w:cs="Liberation Sans"/>
          <w:b/>
          <w:color w:val="0f1115"/>
          <w:sz w:val="24"/>
          <w:szCs w:val="24"/>
        </w:rPr>
        <w:t xml:space="preserve">высокодинамичной и конкурентной среды</w:t>
      </w:r>
      <w:r>
        <w:rPr>
          <w:rFonts w:ascii="Liberation Sans" w:hAnsi="Liberation Sans" w:eastAsia="Liberation Sans" w:cs="Liberation Sans"/>
          <w:color w:val="0f1115"/>
          <w:sz w:val="24"/>
          <w:szCs w:val="24"/>
        </w:rPr>
        <w:t xml:space="preserve">, где цифровизация сервисов перестала быть преимуществом и стала </w:t>
      </w:r>
      <w:r>
        <w:rPr>
          <w:rFonts w:ascii="Liberation Sans" w:hAnsi="Liberation Sans" w:eastAsia="Liberation Sans" w:cs="Liberation Sans"/>
          <w:b/>
          <w:color w:val="0f1115"/>
          <w:sz w:val="24"/>
          <w:szCs w:val="24"/>
        </w:rPr>
        <w:t xml:space="preserve">«ценой входа»</w:t>
      </w:r>
      <w:r>
        <w:rPr>
          <w:rFonts w:ascii="Liberation Sans" w:hAnsi="Liberation Sans" w:eastAsia="Liberation Sans" w:cs="Liberation Sans"/>
          <w:color w:val="0f1115"/>
          <w:sz w:val="24"/>
          <w:szCs w:val="24"/>
        </w:rPr>
        <w:t xml:space="preserve"> на рынок.</w:t>
      </w:r>
      <w:r>
        <w:rPr>
          <w:szCs w:val="24"/>
        </w:rPr>
      </w:r>
      <w:r>
        <w:rPr>
          <w:szCs w:val="24"/>
        </w:rPr>
      </w:r>
    </w:p>
    <w:p>
      <w:pPr>
        <w:pStyle w:val="898"/>
        <w:numPr>
          <w:ilvl w:val="0"/>
          <w:numId w:val="31"/>
        </w:numPr>
        <w:ind w:right="0"/>
        <w:jc w:val="both"/>
        <w:spacing w:before="0" w:after="0"/>
        <w:rPr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  <w:szCs w:val="24"/>
        </w:rPr>
        <w:t xml:space="preserve">Конкурентное давление как прямая угроза:</w:t>
      </w:r>
      <w:r>
        <w:rPr>
          <w:rFonts w:ascii="Liberation Sans" w:hAnsi="Liberation Sans" w:eastAsia="Liberation Sans" w:cs="Liberation Sans"/>
          <w:color w:val="0f1115"/>
          <w:sz w:val="24"/>
          <w:szCs w:val="24"/>
        </w:rPr>
        <w:t xml:space="preserve"> Компания находится в условиях, где ее конкуренты уже активно развивают клиентские сервисы. Отсутствие современного цифрового интерфейса (личного кабинета) напрямую связывается с риском потери 10% доли рынка. Это не абстрактная угроза, а конкретный бизнес-</w:t>
      </w:r>
      <w:r>
        <w:rPr>
          <w:rFonts w:ascii="Liberation Sans" w:hAnsi="Liberation Sans" w:eastAsia="Liberation Sans" w:cs="Liberation Sans"/>
          <w:color w:val="0f1115"/>
          <w:sz w:val="24"/>
          <w:szCs w:val="24"/>
        </w:rPr>
        <w:t xml:space="preserve">риск, выраженный в денежном эквиваленте через отток клиентов.</w:t>
      </w:r>
      <w:r>
        <w:rPr>
          <w:szCs w:val="24"/>
        </w:rPr>
      </w:r>
      <w:r>
        <w:rPr>
          <w:szCs w:val="24"/>
        </w:rPr>
      </w:r>
    </w:p>
    <w:p>
      <w:pPr>
        <w:pStyle w:val="898"/>
        <w:numPr>
          <w:ilvl w:val="0"/>
          <w:numId w:val="31"/>
        </w:numPr>
        <w:ind w:right="0"/>
        <w:jc w:val="both"/>
        <w:spacing w:before="0" w:after="0"/>
        <w:rPr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  <w:szCs w:val="24"/>
        </w:rPr>
        <w:t xml:space="preserve">Изменение профиля клиента и его ожиданий:</w:t>
      </w:r>
      <w:r>
        <w:rPr>
          <w:rFonts w:ascii="Liberation Sans" w:hAnsi="Liberation Sans" w:eastAsia="Liberation Sans" w:cs="Liberation Sans"/>
          <w:color w:val="0f1115"/>
          <w:sz w:val="24"/>
          <w:szCs w:val="24"/>
        </w:rPr>
        <w:t xml:space="preserve"> Рынок лизинга экологичного транспорта привлек новый, более технологически ориентированный сегмент клиентов. Эти клиенты не просто хотят арендовать автомобиль; они ожидают </w:t>
      </w:r>
      <w:r>
        <w:rPr>
          <w:rFonts w:ascii="Liberation Sans" w:hAnsi="Liberation Sans" w:eastAsia="Liberation Sans" w:cs="Liberation Sans"/>
          <w:b/>
          <w:color w:val="0f1115"/>
          <w:sz w:val="24"/>
          <w:szCs w:val="24"/>
        </w:rPr>
        <w:t xml:space="preserve">цифровой, прозрачный и мгновенный сервис</w:t>
      </w:r>
      <w:r>
        <w:rPr>
          <w:rFonts w:ascii="Liberation Sans" w:hAnsi="Liberation Sans" w:eastAsia="Liberation Sans" w:cs="Liberation Sans"/>
          <w:color w:val="0f1115"/>
          <w:sz w:val="24"/>
          <w:szCs w:val="24"/>
        </w:rPr>
        <w:t xml:space="preserve">, аналогичный тому, что предлагают финтех-компании и другие современные digital-бизнесы. Ожидание онлайн-отслеживания заказов, быстрых ответов и персонализированных предложений — это новая базовая норма.</w:t>
      </w:r>
      <w:r>
        <w:rPr>
          <w:szCs w:val="24"/>
        </w:rPr>
      </w:r>
      <w:r>
        <w:rPr>
          <w:szCs w:val="24"/>
        </w:rPr>
      </w:r>
    </w:p>
    <w:p>
      <w:pPr>
        <w:pStyle w:val="898"/>
        <w:numPr>
          <w:ilvl w:val="0"/>
          <w:numId w:val="31"/>
        </w:numPr>
        <w:ind w:right="0"/>
        <w:jc w:val="both"/>
        <w:spacing w:before="0" w:after="0"/>
        <w:rPr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  <w:szCs w:val="24"/>
        </w:rPr>
        <w:t xml:space="preserve">Нормативные рамки как ограничитель и драйвер:</w:t>
      </w:r>
      <w:r>
        <w:rPr>
          <w:rFonts w:ascii="Liberation Sans" w:hAnsi="Liberation Sans" w:eastAsia="Liberation Sans" w:cs="Liberation Sans"/>
          <w:color w:val="0f1115"/>
          <w:sz w:val="24"/>
          <w:szCs w:val="24"/>
        </w:rPr>
        <w:t xml:space="preserve"> С одной стороны, ужесточение законодательства о защите данных (например, 152-ФЗ) накладывает строгие технические и процессные требования на разработку любого клиентского сервиса, усложняя и удорожая проект. С другой стороны, общий тренд государства на под</w:t>
      </w:r>
      <w:r>
        <w:rPr>
          <w:rFonts w:ascii="Liberation Sans" w:hAnsi="Liberation Sans" w:eastAsia="Liberation Sans" w:cs="Liberation Sans"/>
          <w:color w:val="0f1115"/>
          <w:sz w:val="24"/>
          <w:szCs w:val="24"/>
        </w:rPr>
        <w:t xml:space="preserve">держку «зеленых» инициатив открывает для компании возможности для роста, но требует от нее гибкости и способности быстро адаптировать свои продукты.</w:t>
      </w:r>
      <w:r>
        <w:rPr>
          <w:szCs w:val="24"/>
        </w:rPr>
      </w:r>
      <w:r>
        <w:rPr>
          <w:szCs w:val="24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bCs w:val="0"/>
          <w:i w:val="0"/>
          <w:sz w:val="27"/>
          <w:szCs w:val="27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bCs w:val="0"/>
          <w:i w:val="0"/>
          <w:sz w:val="27"/>
          <w:szCs w:val="27"/>
        </w:rPr>
      </w:r>
      <w:r>
        <w:rPr>
          <w:rFonts w:ascii="Liberation Sans" w:hAnsi="Liberation Sans" w:eastAsia="Liberation Sans" w:cs="Liberation Sans"/>
          <w:bCs w:val="0"/>
          <w:i w:val="0"/>
          <w:sz w:val="27"/>
          <w:szCs w:val="27"/>
        </w:rPr>
      </w:r>
    </w:p>
    <w:p>
      <w:pPr>
        <w:ind w:left="0" w:right="0" w:firstLine="0"/>
        <w:spacing w:before="0" w:after="120"/>
        <w:rPr>
          <w:rFonts w:ascii="Liberation Sans" w:hAnsi="Liberation Sans" w:eastAsia="Liberation Sans" w:cs="Liberation Sans"/>
          <w:bCs/>
          <w:i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i/>
          <w:iCs/>
          <w:color w:val="000000"/>
          <w:sz w:val="27"/>
        </w:rPr>
        <w:t xml:space="preserve">Проблема, которая по нашему мнению влияет на эффективность:</w:t>
      </w:r>
      <w:r>
        <w:rPr>
          <w:rFonts w:ascii="Liberation Sans" w:hAnsi="Liberation Sans" w:eastAsia="Liberation Sans" w:cs="Liberation Sans"/>
          <w:bCs/>
          <w:i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bCs/>
          <w:i/>
          <w:color w:val="000000"/>
          <w:sz w:val="27"/>
          <w:szCs w:val="27"/>
          <w:highlight w:val="none"/>
        </w:rPr>
      </w:r>
    </w:p>
    <w:p>
      <w:pPr>
        <w:ind w:left="0" w:right="0" w:firstLine="0"/>
        <w:spacing w:before="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7"/>
          <w:highlight w:val="none"/>
        </w:rPr>
        <w:t xml:space="preserve">Неавтоматизированные процессы взаимодействия с клиентами.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/>
    </w:p>
    <w:p>
      <w:pPr>
        <w:ind w:left="0" w:right="0" w:firstLine="0"/>
        <w:spacing w:before="0" w:after="12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Заявки долго обрабатываются, так как многие операции выполняются вручную. Сотрудники тратят много времени, растет нагрузка на персонал.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spacing w:before="0" w:after="12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Это может повлиять на бизнес, так как теряются повторные сделки с клиентами, соот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ветственно снижается доверие к компании. Клиенты станут уходить к более технологичным и быстрореагирующим конкурентам (важно учитывать, так как конкуренция высокая), а сотрудники перерабатывать, необходимо будет увеличить расходы на трудозатраты персонала.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spacing w:before="0" w:after="12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spacing w:before="0" w:after="120"/>
        <w:rPr>
          <w:rFonts w:ascii="Liberation Sans" w:hAnsi="Liberation Sans" w:eastAsia="Liberation Sans" w:cs="Liberation Sans"/>
          <w:bCs/>
          <w:i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i/>
          <w:iCs/>
          <w:color w:val="000000"/>
          <w:sz w:val="27"/>
          <w:highlight w:val="none"/>
        </w:rPr>
        <w:t xml:space="preserve">Предварительные рекомендации для решения выбранной проблемы.</w:t>
      </w:r>
      <w:r>
        <w:rPr>
          <w:rFonts w:ascii="Liberation Sans" w:hAnsi="Liberation Sans" w:eastAsia="Liberation Sans" w:cs="Liberation Sans"/>
          <w:bCs/>
          <w:i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bCs/>
          <w:i/>
          <w:color w:val="000000"/>
          <w:sz w:val="27"/>
          <w:szCs w:val="27"/>
          <w:highlight w:val="none"/>
        </w:rPr>
      </w:r>
    </w:p>
    <w:p>
      <w:pPr>
        <w:pStyle w:val="898"/>
        <w:numPr>
          <w:ilvl w:val="0"/>
          <w:numId w:val="22"/>
        </w:numPr>
        <w:ind w:right="0"/>
        <w:spacing w:before="0" w:after="120"/>
        <w:rPr>
          <w:rFonts w:ascii="Liberation Sans" w:hAnsi="Liberation Sans" w:eastAsia="Liberation Sans" w:cs="Liberation Sans"/>
          <w:bCs w:val="0"/>
          <w:i w:val="0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i w:val="0"/>
          <w:iCs w:val="0"/>
          <w:color w:val="000000"/>
          <w:sz w:val="27"/>
          <w:highlight w:val="none"/>
        </w:rPr>
        <w:t xml:space="preserve">Собрать обратную связь от удовлетворенных и неудовлетворенных клиентов</w:t>
      </w:r>
      <w:r>
        <w:rPr>
          <w:rFonts w:ascii="Liberation Sans" w:hAnsi="Liberation Sans" w:eastAsia="Liberation Sans" w:cs="Liberation Sans"/>
          <w:i w:val="0"/>
          <w:iCs w:val="0"/>
          <w:color w:val="000000"/>
          <w:sz w:val="27"/>
          <w:highlight w:val="none"/>
        </w:rPr>
        <w:t xml:space="preserve"> компании. От клиентов нам нужны те аспекты взаимодействия с компанией, которые были им непонятны, на какие вопросы были найдены ответы, а какие из них так и остались без ответа (или может быть что-то оказалось «подводным камнем», выяснилось только в проце</w:t>
      </w:r>
      <w:r>
        <w:rPr>
          <w:rFonts w:ascii="Liberation Sans" w:hAnsi="Liberation Sans" w:eastAsia="Liberation Sans" w:cs="Liberation Sans"/>
          <w:i w:val="0"/>
          <w:iCs w:val="0"/>
          <w:color w:val="000000"/>
          <w:sz w:val="27"/>
          <w:highlight w:val="none"/>
        </w:rPr>
        <w:t xml:space="preserve">ссе заключения сделки). Затем эта информация передается специалистам компании на рассмотрение. Следующим шагом из этих данных необходимо на сайте компании сделать раздел частых вопросов, задаваемых нашими клиентами. В ней можно описать как обычно происходи</w:t>
      </w:r>
      <w:r>
        <w:rPr>
          <w:rFonts w:ascii="Liberation Sans" w:hAnsi="Liberation Sans" w:eastAsia="Liberation Sans" w:cs="Liberation Sans"/>
          <w:i w:val="0"/>
          <w:iCs w:val="0"/>
          <w:color w:val="000000"/>
          <w:sz w:val="27"/>
          <w:highlight w:val="none"/>
        </w:rPr>
        <w:t xml:space="preserve">т взаимодействие с компанией. Это упростит процесс взаимодействия для клиента, так как это уменьшит количество вопросов к компании, даст возможность заранее ознакомиться с тонкостями процесса. Вот реальные примеры того, как может выглядеть подобный раздел:</w:t>
      </w:r>
      <w:r>
        <w:rPr>
          <w:rFonts w:ascii="Liberation Sans" w:hAnsi="Liberation Sans" w:eastAsia="Liberation Sans" w:cs="Liberation Sans"/>
          <w:bCs w:val="0"/>
          <w:i w:val="0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bCs w:val="0"/>
          <w:i w:val="0"/>
          <w:color w:val="000000"/>
          <w:sz w:val="27"/>
          <w:szCs w:val="27"/>
          <w:highlight w:val="none"/>
        </w:rPr>
      </w:r>
    </w:p>
    <w:p>
      <w:pPr>
        <w:ind w:left="709" w:right="0" w:firstLine="0"/>
        <w:spacing w:before="0" w:after="120"/>
        <w:rPr>
          <w:rFonts w:ascii="Liberation Sans" w:hAnsi="Liberation Sans" w:eastAsia="Liberation Sans" w:cs="Liberation Sans"/>
          <w:bCs/>
          <w:i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i/>
          <w:iCs/>
          <w:color w:val="000000"/>
          <w:sz w:val="27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95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59646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459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51.1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Cs/>
          <w:i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bCs/>
          <w:i/>
          <w:color w:val="000000"/>
          <w:sz w:val="27"/>
          <w:szCs w:val="27"/>
          <w:highlight w:val="none"/>
        </w:rPr>
      </w:r>
    </w:p>
    <w:p>
      <w:pPr>
        <w:ind w:left="709" w:right="0" w:firstLine="0"/>
        <w:spacing w:before="0" w:after="12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i/>
          <w:iCs/>
          <w:color w:val="000000"/>
          <w:sz w:val="27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654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12318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065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41.37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709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/>
    </w:p>
    <w:p>
      <w:pPr>
        <w:pStyle w:val="898"/>
        <w:numPr>
          <w:ilvl w:val="0"/>
          <w:numId w:val="23"/>
        </w:numPr>
        <w:ind w:right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Создать чат-б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от в телеграме для определенных стадий взаимодействия с клиентом. Как отмечено заказчиком, многие процессы отнимают много времени у сотрудников (это может быть заполнение заявки, первичное взаимодействие для консультации, статус обработки заявки и пр.). Со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временные чат-боты обладают довольно широким функционалом и могли бы упростить процессы. В чат-боте можно испытать возможные пути общения с клиентом, выявить самые важные и успешные, из которых в последствии можно создавать на сайте личный кабинет клиента.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right="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spacing w:before="0" w:after="120"/>
        <w:rPr>
          <w:bCs/>
          <w:i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i/>
          <w:iCs/>
          <w:color w:val="000000"/>
          <w:sz w:val="27"/>
        </w:rPr>
        <w:t xml:space="preserve">Два вопроса, которые мы бы задали стейкхолдерам EcoLease Solutions Ltd. для получения дополнительной информации о выбранной проблеме:</w:t>
      </w:r>
      <w:r>
        <w:rPr>
          <w:bCs/>
          <w:i/>
        </w:rPr>
      </w:r>
      <w:r>
        <w:rPr>
          <w:bCs/>
          <w:i/>
        </w:rPr>
      </w:r>
    </w:p>
    <w:p>
      <w:pPr>
        <w:pStyle w:val="898"/>
        <w:numPr>
          <w:ilvl w:val="0"/>
          <w:numId w:val="26"/>
        </w:numPr>
        <w:ind w:right="0"/>
        <w:spacing w:before="0" w:after="12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Как в компании сейчас организован сбор и обработка обратной связи от клиентов?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 (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Кто этим занимается: поддержка, отдел продаж, менеджер по связи с клиентом, и как это фиксируется?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)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pStyle w:val="898"/>
        <w:numPr>
          <w:ilvl w:val="0"/>
          <w:numId w:val="26"/>
        </w:numPr>
        <w:ind w:right="0"/>
        <w:spacing w:before="0" w:after="120"/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Как происходит 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полный цикл взаимодействия клиента с компанией, от момента первой заявки до заключения договора и дальнейшего обслуживания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? (Важно понимать 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на каких этапах возникают задержки и ручная работа сотрудников</w:t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  <w:t xml:space="preserve">, когда какой отдел взаимодействует с клиентом и как и пр.)</w:t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szCs w:val="27"/>
          <w:highlight w:val="none"/>
        </w:rPr>
      </w:r>
    </w:p>
    <w:p>
      <w:pPr>
        <w:ind w:left="0" w:right="0" w:firstLine="0"/>
        <w:spacing w:before="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/>
    </w:p>
    <w:p>
      <w:pPr>
        <w:ind w:right="0"/>
        <w:spacing w:before="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/>
    </w:p>
    <w:p>
      <w:pPr>
        <w:pStyle w:val="898"/>
        <w:numPr>
          <w:ilvl w:val="0"/>
          <w:numId w:val="8"/>
        </w:numPr>
        <w:ind w:right="0"/>
        <w:rPr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white"/>
        </w:rPr>
        <w:t xml:space="preserve">Заполните канву базовых понятий для компании и проекта.</w:t>
      </w:r>
      <w:r>
        <w:rPr>
          <w:highlight w:val="white"/>
        </w:rPr>
      </w:r>
      <w:r>
        <w:rPr>
          <w:highlight w:val="white"/>
        </w:rPr>
      </w:r>
    </w:p>
    <w:tbl>
      <w:tblPr>
        <w:tblStyle w:val="750"/>
        <w:tblW w:w="0" w:type="auto"/>
        <w:tblLook w:val="04A0" w:firstRow="1" w:lastRow="0" w:firstColumn="1" w:lastColumn="0" w:noHBand="0" w:noVBand="1"/>
      </w:tblPr>
      <w:tblGrid>
        <w:gridCol w:w="5193"/>
        <w:gridCol w:w="5193"/>
      </w:tblGrid>
      <w:tr>
        <w:tblPrEx/>
        <w:trPr>
          <w:trHeight w:val="2209"/>
        </w:trPr>
        <w:tc>
          <w:tcPr>
            <w:tcW w:w="5193" w:type="dxa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Changes (изменения)</w:t>
            </w:r>
            <w:r/>
          </w:p>
        </w:tc>
        <w:tc>
          <w:tcPr>
            <w:tcW w:w="5193" w:type="dxa"/>
            <w:textDirection w:val="lrTb"/>
            <w:noWrap w:val="false"/>
          </w:tcPr>
          <w:p>
            <w:pPr>
              <w:spacing w:before="0" w:after="0" w:line="276" w:lineRule="auto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</w:rPr>
              <w:t xml:space="preserve">Перевод операционных процессов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 взаимодействия с клиентами в онлайн-форму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 через внедрение личного кабинета. Это комплексное изменение, затрагивающее клиентский опыт, внутренние бизнес-процессы и ИТ-архитектуру. Реализация планируется в несколько очередей.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76"/>
        </w:trPr>
        <w:tc>
          <w:tcPr>
            <w:tcW w:w="5193" w:type="dxa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Needs (потребности)</w:t>
            </w:r>
            <w:r/>
          </w:p>
        </w:tc>
        <w:tc>
          <w:tcPr>
            <w:tcW w:w="5193" w:type="dxa"/>
            <w:textDirection w:val="lrTb"/>
            <w:noWrap w:val="false"/>
          </w:tcPr>
          <w:p>
            <w:pPr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4"/>
                <w:szCs w:val="24"/>
                <w:highlight w:val="white"/>
              </w:rPr>
              <w:t xml:space="preserve">Потребность в повышении операционной эффективности, снижении издержек и улучшении клиентского опыта.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 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</w:p>
          <w:p>
            <w:pPr>
              <w:spacing w:before="0" w:after="0" w:line="276" w:lineRule="auto"/>
              <w:rPr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Конкретно:</w:t>
              <w:br/>
              <w:t xml:space="preserve">• Снизить потери в $10,000/мес от ручного труда.</w:t>
              <w:br/>
              <w:t xml:space="preserve">• Остановить потерю клиентов ($20,000/мес).</w:t>
              <w:br/>
              <w:t xml:space="preserve">• Сократить административные затраты ($15,000/мес).</w:t>
              <w:br/>
              <w:t xml:space="preserve">• Устранить потери в $30,000/мес от отсутствия централизованной платформы.</w:t>
              <w:br/>
              <w:t xml:space="preserve">• Подготовить ИТ-инфраст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руктуру к пятикратному росту клиентской базы.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76"/>
        </w:trPr>
        <w:tc>
          <w:tcPr>
            <w:tcW w:w="5193" w:type="dxa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Solutions (решения)</w:t>
            </w:r>
            <w:r/>
          </w:p>
        </w:tc>
        <w:tc>
          <w:tcPr>
            <w:tcW w:w="5193" w:type="dxa"/>
            <w:textDirection w:val="lrTb"/>
            <w:noWrap w:val="false"/>
          </w:tcPr>
          <w:p>
            <w:pPr>
              <w:ind w:left="0" w:firstLine="0"/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4"/>
                <w:szCs w:val="24"/>
                <w:highlight w:val="white"/>
              </w:rPr>
              <w:t xml:space="preserve">Разработка и внедрение "Личного кабинета клиента"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 — цифровой платформы, которая, вероятно, будет включать: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898"/>
              <w:numPr>
                <w:ilvl w:val="0"/>
                <w:numId w:val="30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</w:rPr>
              <w:t xml:space="preserve">Функционал для отслеживания статуса заявок и заказов.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898"/>
              <w:numPr>
                <w:ilvl w:val="0"/>
                <w:numId w:val="30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</w:rPr>
              <w:t xml:space="preserve">Онлайн-подача запросов и заявок.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898"/>
              <w:numPr>
                <w:ilvl w:val="0"/>
                <w:numId w:val="30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</w:rPr>
              <w:t xml:space="preserve">Систему уведомлений.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898"/>
              <w:numPr>
                <w:ilvl w:val="0"/>
                <w:numId w:val="30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</w:rPr>
              <w:t xml:space="preserve">Базу документов.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898"/>
              <w:numPr>
                <w:ilvl w:val="0"/>
                <w:numId w:val="30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</w:rPr>
              <w:t xml:space="preserve">Инструменты для анализа данных о клиентах (для персонализации п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</w:rPr>
              <w:t xml:space="preserve">редложений).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898"/>
              <w:numPr>
                <w:ilvl w:val="0"/>
                <w:numId w:val="30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</w:rPr>
              <w:t xml:space="preserve">Интеграцию с внутренними системами компании.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4"/>
                <w:szCs w:val="24"/>
                <w:highlight w:val="white"/>
                <w14:ligatures w14:val="none"/>
              </w:rPr>
            </w:r>
          </w:p>
        </w:tc>
      </w:tr>
      <w:tr>
        <w:tblPrEx/>
        <w:trPr>
          <w:trHeight w:val="552"/>
        </w:trPr>
        <w:tc>
          <w:tcPr>
            <w:tcW w:w="5193" w:type="dxa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Stakeholders (заинтересованные стороны)</w:t>
            </w:r>
            <w:r/>
          </w:p>
        </w:tc>
        <w:tc>
          <w:tcPr>
            <w:tcW w:w="5193" w:type="dxa"/>
            <w:textDirection w:val="lrTb"/>
            <w:noWrap w:val="false"/>
          </w:tcPr>
          <w:p>
            <w:pPr>
              <w:pStyle w:val="898"/>
              <w:numPr>
                <w:ilvl w:val="0"/>
                <w:numId w:val="27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f1115"/>
                <w:sz w:val="24"/>
                <w:szCs w:val="24"/>
                <w:highlight w:val="white"/>
              </w:rPr>
              <w:t xml:space="preserve">Владелец компании: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 Ключевой инициатор, определяет стратегические цели и проблематику.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898"/>
              <w:numPr>
                <w:ilvl w:val="0"/>
                <w:numId w:val="27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f1115"/>
                <w:sz w:val="24"/>
                <w:szCs w:val="24"/>
                <w:highlight w:val="white"/>
              </w:rPr>
              <w:t xml:space="preserve">Рустам Ибрагимович (Заместитель директора по ИТ):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 Главный представитель заказчика, спонсор.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898"/>
              <w:numPr>
                <w:ilvl w:val="0"/>
                <w:numId w:val="27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f1115"/>
                <w:sz w:val="24"/>
                <w:szCs w:val="24"/>
                <w:highlight w:val="white"/>
              </w:rPr>
              <w:t xml:space="preserve">Олег Нилов (Руководитель проекта):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 Координатор с стороны заказчика.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898"/>
              <w:numPr>
                <w:ilvl w:val="0"/>
                <w:numId w:val="27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f1115"/>
                <w:sz w:val="24"/>
                <w:szCs w:val="24"/>
                <w:highlight w:val="white"/>
              </w:rPr>
              <w:t xml:space="preserve">Отдел обслуживания клиентов и маркетинга:</w:t>
            </w:r>
            <w:r>
              <w:rPr>
                <w:rFonts w:ascii="Liberation Sans" w:hAnsi="Liberation Sans" w:eastAsia="Liberation Sans" w:cs="Liberation Sans"/>
                <w:b/>
                <w:bCs/>
                <w:color w:val="0f1115"/>
                <w:sz w:val="24"/>
                <w:szCs w:val="24"/>
                <w:highlight w:val="white"/>
              </w:rPr>
              <w:t xml:space="preserve"> 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Конечные пользователи и бенефициары изменений.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898"/>
              <w:numPr>
                <w:ilvl w:val="0"/>
                <w:numId w:val="27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f1115"/>
                <w:sz w:val="24"/>
                <w:szCs w:val="24"/>
                <w:highlight w:val="white"/>
              </w:rPr>
              <w:t xml:space="preserve">Отдел ИТ: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 Владелец бюджета, источник технических ограничений.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898"/>
              <w:numPr>
                <w:ilvl w:val="0"/>
                <w:numId w:val="27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f1115"/>
                <w:sz w:val="24"/>
                <w:szCs w:val="24"/>
                <w:highlight w:val="white"/>
              </w:rPr>
              <w:t xml:space="preserve">Клиенты (ЮЛ и ФЛ):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 Конечные пользователи решения.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898"/>
              <w:numPr>
                <w:ilvl w:val="0"/>
                <w:numId w:val="27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f1115"/>
                <w:sz w:val="24"/>
                <w:szCs w:val="24"/>
                <w:highlight w:val="white"/>
              </w:rPr>
              <w:t xml:space="preserve">Команда аналитиков и архитекторов (Наша команда):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 Исполнители исследования.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  <w14:ligatures w14:val="none"/>
              </w:rPr>
            </w:r>
          </w:p>
        </w:tc>
      </w:tr>
      <w:tr>
        <w:tblPrEx/>
        <w:trPr>
          <w:trHeight w:val="276"/>
        </w:trPr>
        <w:tc>
          <w:tcPr>
            <w:tcW w:w="5193" w:type="dxa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Value (ценность)</w:t>
            </w:r>
            <w:r/>
          </w:p>
        </w:tc>
        <w:tc>
          <w:tcPr>
            <w:tcW w:w="5193" w:type="dxa"/>
            <w:textDirection w:val="lrTb"/>
            <w:noWrap w:val="false"/>
          </w:tcPr>
          <w:p>
            <w:pPr>
              <w:ind w:left="0" w:firstLine="0"/>
              <w:spacing w:before="0" w:after="0" w:line="276" w:lineRule="auto"/>
              <w:rPr>
                <w:rFonts w:ascii="Liberation Sans" w:hAnsi="Liberation Sans" w:eastAsia="Liberation Sans" w:cs="Liberation Sans"/>
                <w:b/>
                <w:bCs/>
                <w:color w:val="0f1115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4"/>
                <w:szCs w:val="24"/>
                <w:highlight w:val="white"/>
              </w:rPr>
              <w:t xml:space="preserve">Стратегическая ценность:</w:t>
            </w:r>
            <w:r>
              <w:rPr>
                <w:rFonts w:ascii="Liberation Sans" w:hAnsi="Liberation Sans" w:eastAsia="Liberation Sans" w:cs="Liberation Sans"/>
                <w:b/>
                <w:bCs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f1115"/>
                <w:sz w:val="24"/>
                <w:szCs w:val="24"/>
                <w:highlight w:val="white"/>
              </w:rPr>
            </w:r>
          </w:p>
          <w:p>
            <w:pPr>
              <w:pStyle w:val="898"/>
              <w:numPr>
                <w:ilvl w:val="0"/>
                <w:numId w:val="27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Увеличение доли рынка и прибыли на 15%.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</w:p>
          <w:p>
            <w:pPr>
              <w:pStyle w:val="898"/>
              <w:numPr>
                <w:ilvl w:val="0"/>
                <w:numId w:val="27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Повышение лояльности клиентов и снижение их оттока.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</w:p>
          <w:p>
            <w:pPr>
              <w:pStyle w:val="898"/>
              <w:numPr>
                <w:ilvl w:val="0"/>
                <w:numId w:val="27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Улучшение конкурентной позиции.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</w:p>
          <w:p>
            <w:pPr>
              <w:pStyle w:val="898"/>
              <w:numPr>
                <w:ilvl w:val="0"/>
                <w:numId w:val="27"/>
              </w:numPr>
              <w:spacing w:before="0" w:after="0" w:line="276" w:lineRule="auto"/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Создание основы для масштабирования бизнеса.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</w:r>
          </w:p>
          <w:p>
            <w:pPr>
              <w:pStyle w:val="898"/>
              <w:numPr>
                <w:ilvl w:val="0"/>
                <w:numId w:val="27"/>
              </w:numPr>
              <w:spacing w:before="0" w:after="0" w:line="276" w:lineRule="auto"/>
              <w:rPr>
                <w:sz w:val="24"/>
                <w:szCs w:val="24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Возможность для персонализированного маркетинга (рост среднего чека на 15%).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>
            <w:pPr>
              <w:spacing w:before="0" w:after="0" w:line="276" w:lineRule="auto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Финансовая ценность: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  <w:p>
            <w:pPr>
              <w:pStyle w:val="898"/>
              <w:numPr>
                <w:ilvl w:val="0"/>
                <w:numId w:val="28"/>
              </w:numPr>
              <w:spacing w:before="0" w:after="0" w:line="276" w:lineRule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Ежемесячное сокращение потерь на общую сумму </w:t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4"/>
                <w:szCs w:val="24"/>
                <w:highlight w:val="white"/>
              </w:rPr>
              <w:t xml:space="preserve">$75,000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trHeight w:val="311"/>
        </w:trPr>
        <w:tc>
          <w:tcPr>
            <w:tcW w:w="5193" w:type="dxa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Context (контекст)</w:t>
            </w:r>
            <w:r/>
          </w:p>
        </w:tc>
        <w:tc>
          <w:tcPr>
            <w:tcW w:w="5193" w:type="dxa"/>
            <w:textDirection w:val="lrTb"/>
            <w:noWrap w:val="false"/>
          </w:tcPr>
          <w:p>
            <w:pPr>
              <w:spacing w:line="276" w:lineRule="auto"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4"/>
                <w:szCs w:val="24"/>
                <w:highlight w:val="white"/>
              </w:rPr>
              <w:t xml:space="preserve">Организация: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 "EcoLease Solutions Ltd.", лизинговая компания с фокусом на экологичные решения.</w:t>
              <w:br/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4"/>
                <w:szCs w:val="24"/>
                <w:highlight w:val="white"/>
              </w:rPr>
              <w:t xml:space="preserve">Внешняя среда: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 Высокая конкуренция, растущий спрос на "зеленые" решения, строгие нормативы по защите данных, высокие ожидания клиентов к цифровому сервису.</w:t>
              <w:br/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4"/>
                <w:szCs w:val="24"/>
                <w:highlight w:val="white"/>
              </w:rPr>
              <w:t xml:space="preserve">Внутренняя среда: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 Рост бизнеса (план увеличения клиентской базы в 5 раз), устаревшие системы и неэффективные процессы, наличие внутреннего ИТ-подразделения.</w:t>
              <w:br/>
            </w:r>
            <w:r>
              <w:rPr>
                <w:rFonts w:ascii="Liberation Sans" w:hAnsi="Liberation Sans" w:eastAsia="Liberation Sans" w:cs="Liberation Sans"/>
                <w:b/>
                <w:color w:val="0f1115"/>
                <w:sz w:val="24"/>
                <w:szCs w:val="24"/>
                <w:highlight w:val="white"/>
              </w:rPr>
              <w:t xml:space="preserve">Ограничения:</w:t>
            </w:r>
            <w:r>
              <w:rPr>
                <w:rFonts w:ascii="Liberation Sans" w:hAnsi="Liberation Sans" w:eastAsia="Liberation Sans" w:cs="Liberation Sans"/>
                <w:color w:val="0f1115"/>
                <w:sz w:val="24"/>
                <w:szCs w:val="24"/>
                <w:highlight w:val="white"/>
              </w:rPr>
              <w:t xml:space="preserve"> Бюджет, время на обследование (2-3 недели), необходимость реализации в несколько очередей, существующая ИТ-архитектура.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7"/>
          <w:highlight w:val="none"/>
        </w:rPr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720" w:right="720" w:bottom="720" w:left="720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7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7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7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7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8">
    <w:name w:val="Heading 1"/>
    <w:basedOn w:val="894"/>
    <w:next w:val="89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19">
    <w:name w:val="Heading 1 Char"/>
    <w:link w:val="718"/>
    <w:uiPriority w:val="9"/>
    <w:rPr>
      <w:rFonts w:ascii="Liberation Sans" w:hAnsi="Liberation Sans" w:eastAsia="Liberation Sans" w:cs="Liberation Sans"/>
    </w:rPr>
  </w:style>
  <w:style w:type="paragraph" w:styleId="720">
    <w:name w:val="Heading 2"/>
    <w:basedOn w:val="718"/>
    <w:next w:val="894"/>
    <w:link w:val="721"/>
    <w:uiPriority w:val="9"/>
    <w:unhideWhenUsed/>
    <w:qFormat/>
    <w:rPr>
      <w:rFonts w:ascii="Liberation Sans" w:hAnsi="Liberation Sans" w:eastAsia="Liberation Sans" w:cs="Liberation Sans"/>
    </w:rPr>
  </w:style>
  <w:style w:type="character" w:styleId="721">
    <w:name w:val="Heading 2 Char"/>
    <w:link w:val="720"/>
    <w:uiPriority w:val="9"/>
    <w:rPr>
      <w:rFonts w:ascii="Liberation Sans" w:hAnsi="Liberation Sans" w:eastAsia="Liberation Sans" w:cs="Liberation Sans"/>
      <w:sz w:val="34"/>
    </w:rPr>
  </w:style>
  <w:style w:type="paragraph" w:styleId="722">
    <w:name w:val="Heading 3"/>
    <w:basedOn w:val="894"/>
    <w:next w:val="894"/>
    <w:link w:val="72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723">
    <w:name w:val="Heading 3 Char"/>
    <w:link w:val="722"/>
    <w:uiPriority w:val="9"/>
    <w:rPr>
      <w:rFonts w:ascii="Liberation Sans" w:hAnsi="Liberation Sans" w:cs="Liberation Sans"/>
    </w:rPr>
  </w:style>
  <w:style w:type="paragraph" w:styleId="724">
    <w:name w:val="Heading 4"/>
    <w:basedOn w:val="894"/>
    <w:next w:val="894"/>
    <w:link w:val="72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25">
    <w:name w:val="Heading 4 Char"/>
    <w:link w:val="724"/>
    <w:uiPriority w:val="9"/>
    <w:rPr>
      <w:rFonts w:ascii="Liberation Sans" w:hAnsi="Liberation Sans" w:eastAsia="Liberation Sans" w:cs="Liberation Sans"/>
    </w:rPr>
  </w:style>
  <w:style w:type="paragraph" w:styleId="726">
    <w:name w:val="Heading 5"/>
    <w:basedOn w:val="894"/>
    <w:next w:val="894"/>
    <w:link w:val="72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27">
    <w:name w:val="Heading 5 Char"/>
    <w:link w:val="726"/>
    <w:uiPriority w:val="9"/>
    <w:rPr>
      <w:rFonts w:ascii="Liberation Sans" w:hAnsi="Liberation Sans" w:eastAsia="Liberation Sans" w:cs="Liberation Sans"/>
    </w:rPr>
  </w:style>
  <w:style w:type="paragraph" w:styleId="728">
    <w:name w:val="Heading 6"/>
    <w:basedOn w:val="894"/>
    <w:next w:val="894"/>
    <w:link w:val="72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29">
    <w:name w:val="Heading 6 Char"/>
    <w:link w:val="728"/>
    <w:uiPriority w:val="9"/>
    <w:rPr>
      <w:rFonts w:ascii="Liberation Sans" w:hAnsi="Liberation Sans" w:eastAsia="Liberation Sans" w:cs="Liberation Sans"/>
    </w:rPr>
  </w:style>
  <w:style w:type="paragraph" w:styleId="730">
    <w:name w:val="Heading 7"/>
    <w:basedOn w:val="894"/>
    <w:next w:val="894"/>
    <w:link w:val="73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31">
    <w:name w:val="Heading 7 Char"/>
    <w:link w:val="730"/>
    <w:uiPriority w:val="9"/>
    <w:rPr>
      <w:rFonts w:ascii="Liberation Sans" w:hAnsi="Liberation Sans" w:eastAsia="Liberation Sans" w:cs="Liberation Sans"/>
    </w:rPr>
  </w:style>
  <w:style w:type="paragraph" w:styleId="732">
    <w:name w:val="Heading 8"/>
    <w:basedOn w:val="894"/>
    <w:next w:val="894"/>
    <w:link w:val="73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33">
    <w:name w:val="Heading 8 Char"/>
    <w:link w:val="732"/>
    <w:uiPriority w:val="9"/>
    <w:rPr>
      <w:rFonts w:ascii="Liberation Sans" w:hAnsi="Liberation Sans" w:eastAsia="Liberation Sans" w:cs="Liberation Sans"/>
    </w:rPr>
  </w:style>
  <w:style w:type="paragraph" w:styleId="734">
    <w:name w:val="Heading 9"/>
    <w:basedOn w:val="894"/>
    <w:next w:val="894"/>
    <w:link w:val="73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35">
    <w:name w:val="Heading 9 Char"/>
    <w:link w:val="734"/>
    <w:uiPriority w:val="9"/>
    <w:rPr>
      <w:rFonts w:ascii="Liberation Sans" w:hAnsi="Liberation Sans" w:eastAsia="Liberation Sans" w:cs="Liberation Sans"/>
    </w:rPr>
  </w:style>
  <w:style w:type="paragraph" w:styleId="736">
    <w:name w:val="Title"/>
    <w:basedOn w:val="894"/>
    <w:next w:val="894"/>
    <w:link w:val="7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7">
    <w:name w:val="Title Char"/>
    <w:link w:val="736"/>
    <w:uiPriority w:val="10"/>
    <w:rPr>
      <w:sz w:val="48"/>
      <w:szCs w:val="48"/>
    </w:rPr>
  </w:style>
  <w:style w:type="paragraph" w:styleId="738">
    <w:name w:val="Subtitle"/>
    <w:basedOn w:val="894"/>
    <w:next w:val="894"/>
    <w:link w:val="739"/>
    <w:uiPriority w:val="11"/>
    <w:qFormat/>
    <w:pPr>
      <w:spacing w:before="200" w:after="200"/>
    </w:pPr>
    <w:rPr>
      <w:sz w:val="24"/>
      <w:szCs w:val="24"/>
    </w:rPr>
  </w:style>
  <w:style w:type="character" w:styleId="739">
    <w:name w:val="Subtitle Char"/>
    <w:link w:val="738"/>
    <w:uiPriority w:val="11"/>
    <w:rPr>
      <w:sz w:val="24"/>
      <w:szCs w:val="24"/>
    </w:rPr>
  </w:style>
  <w:style w:type="paragraph" w:styleId="740">
    <w:name w:val="Quote"/>
    <w:basedOn w:val="894"/>
    <w:next w:val="894"/>
    <w:link w:val="741"/>
    <w:uiPriority w:val="29"/>
    <w:qFormat/>
    <w:pPr>
      <w:ind w:left="720" w:right="720"/>
    </w:pPr>
    <w:rPr>
      <w:i/>
    </w:rPr>
  </w:style>
  <w:style w:type="character" w:styleId="741">
    <w:name w:val="Quote Char"/>
    <w:link w:val="740"/>
    <w:uiPriority w:val="29"/>
    <w:rPr>
      <w:i/>
    </w:rPr>
  </w:style>
  <w:style w:type="paragraph" w:styleId="742">
    <w:name w:val="Intense Quote"/>
    <w:basedOn w:val="894"/>
    <w:next w:val="894"/>
    <w:link w:val="7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3">
    <w:name w:val="Intense Quote Char"/>
    <w:link w:val="742"/>
    <w:uiPriority w:val="30"/>
    <w:rPr>
      <w:i/>
    </w:rPr>
  </w:style>
  <w:style w:type="paragraph" w:styleId="744">
    <w:name w:val="Header"/>
    <w:basedOn w:val="894"/>
    <w:link w:val="7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45">
    <w:name w:val="Header Char"/>
    <w:link w:val="744"/>
    <w:uiPriority w:val="99"/>
  </w:style>
  <w:style w:type="paragraph" w:styleId="746">
    <w:name w:val="Footer"/>
    <w:basedOn w:val="894"/>
    <w:link w:val="74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47">
    <w:name w:val="Footer Char"/>
    <w:link w:val="746"/>
    <w:uiPriority w:val="99"/>
  </w:style>
  <w:style w:type="paragraph" w:styleId="748">
    <w:name w:val="Caption"/>
    <w:basedOn w:val="894"/>
    <w:next w:val="89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49">
    <w:name w:val="Caption Char"/>
    <w:basedOn w:val="748"/>
    <w:link w:val="746"/>
    <w:uiPriority w:val="99"/>
  </w:style>
  <w:style w:type="table" w:styleId="750">
    <w:name w:val="Table Grid"/>
    <w:basedOn w:val="89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1">
    <w:name w:val="Table Grid Light"/>
    <w:basedOn w:val="8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2">
    <w:name w:val="Plain Table 1"/>
    <w:basedOn w:val="8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3">
    <w:name w:val="Plain Table 2"/>
    <w:basedOn w:val="89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4">
    <w:name w:val="Plain Table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5">
    <w:name w:val="Plain Table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Plain Table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7">
    <w:name w:val="Grid Table 1 Light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Grid Table 1 Light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Grid Table 1 Light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Grid Table 1 Light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Grid Table 1 Light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2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2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2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2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3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3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3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4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9">
    <w:name w:val="Grid Table 4 - Accent 1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0">
    <w:name w:val="Grid Table 4 - Accent 2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Grid Table 4 - Accent 3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2">
    <w:name w:val="Grid Table 4 - Accent 4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Grid Table 4 - Accent 5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4">
    <w:name w:val="Grid Table 4 - Accent 6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5">
    <w:name w:val="Grid Table 5 Dark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6">
    <w:name w:val="Grid Table 5 Dark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87">
    <w:name w:val="Grid Table 5 Dark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88">
    <w:name w:val="Grid Table 5 Dark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89">
    <w:name w:val="Grid Table 5 Dark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0">
    <w:name w:val="Grid Table 5 Dark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2">
    <w:name w:val="Grid Table 6 Colorful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3">
    <w:name w:val="Grid Table 6 Colorful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4">
    <w:name w:val="Grid Table 6 Colorful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5">
    <w:name w:val="Grid Table 6 Colorful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96">
    <w:name w:val="Grid Table 6 Colorful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97">
    <w:name w:val="Grid Table 6 Colorful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8">
    <w:name w:val="Grid Table 6 Colorful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9">
    <w:name w:val="Grid Table 7 Colorful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7 Colorful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7 Colorful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7 Colorful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7 Colorful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List Table 1 Light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List Table 1 Light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List Table 1 Light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List Table 1 Light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4">
    <w:name w:val="List Table 2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5">
    <w:name w:val="List Table 2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16">
    <w:name w:val="List Table 2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17">
    <w:name w:val="List Table 2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18">
    <w:name w:val="List Table 2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19">
    <w:name w:val="List Table 2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0">
    <w:name w:val="List Table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3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3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3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3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4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4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4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5 Dark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5">
    <w:name w:val="List Table 5 Dark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6">
    <w:name w:val="List Table 5 Dark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7">
    <w:name w:val="List Table 5 Dark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8">
    <w:name w:val="List Table 5 Dark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6 Colorful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2">
    <w:name w:val="List Table 6 Colorful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3">
    <w:name w:val="List Table 6 Colorful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4">
    <w:name w:val="List Table 6 Colorful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5">
    <w:name w:val="List Table 6 Colorful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46">
    <w:name w:val="List Table 6 Colorful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47">
    <w:name w:val="List Table 6 Colorful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48">
    <w:name w:val="List Table 7 Colorful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49">
    <w:name w:val="List Table 7 Colorful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0">
    <w:name w:val="List Table 7 Colorful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1">
    <w:name w:val="List Table 7 Colorful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2">
    <w:name w:val="List Table 7 Colorful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3">
    <w:name w:val="List Table 7 Colorful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4">
    <w:name w:val="List Table 7 Colorful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5">
    <w:name w:val="Lined - Accent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6">
    <w:name w:val="Lined - Accent 1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57">
    <w:name w:val="Lined - Accent 2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58">
    <w:name w:val="Lined - Accent 3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9">
    <w:name w:val="Lined - Accent 4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0">
    <w:name w:val="Lined - Accent 5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1">
    <w:name w:val="Lined - Accent 6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2">
    <w:name w:val="Bordered &amp; Lined - Accent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3">
    <w:name w:val="Bordered &amp; Lined - Accent 1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4">
    <w:name w:val="Bordered &amp; Lined - Accent 2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5">
    <w:name w:val="Bordered &amp; Lined - Accent 3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6">
    <w:name w:val="Bordered &amp; Lined - Accent 4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7">
    <w:name w:val="Bordered &amp; Lined - Accent 5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8">
    <w:name w:val="Bordered &amp; Lined - Accent 6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9">
    <w:name w:val="Bordered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0">
    <w:name w:val="Bordered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1">
    <w:name w:val="Bordered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2">
    <w:name w:val="Bordered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3">
    <w:name w:val="Bordered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4">
    <w:name w:val="Bordered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5">
    <w:name w:val="Bordered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76">
    <w:name w:val="Hyperlink"/>
    <w:uiPriority w:val="99"/>
    <w:unhideWhenUsed/>
    <w:rPr>
      <w:color w:val="0000ff" w:themeColor="hyperlink"/>
      <w:u w:val="single"/>
    </w:rPr>
  </w:style>
  <w:style w:type="paragraph" w:styleId="877">
    <w:name w:val="footnote text"/>
    <w:basedOn w:val="894"/>
    <w:link w:val="878"/>
    <w:uiPriority w:val="99"/>
    <w:semiHidden/>
    <w:unhideWhenUsed/>
    <w:pPr>
      <w:spacing w:after="40" w:line="240" w:lineRule="auto"/>
    </w:pPr>
    <w:rPr>
      <w:sz w:val="18"/>
    </w:rPr>
  </w:style>
  <w:style w:type="character" w:styleId="878">
    <w:name w:val="Footnote Text Char"/>
    <w:link w:val="877"/>
    <w:uiPriority w:val="99"/>
    <w:rPr>
      <w:sz w:val="18"/>
    </w:rPr>
  </w:style>
  <w:style w:type="character" w:styleId="879">
    <w:name w:val="footnote reference"/>
    <w:uiPriority w:val="99"/>
    <w:unhideWhenUsed/>
    <w:rPr>
      <w:vertAlign w:val="superscript"/>
    </w:rPr>
  </w:style>
  <w:style w:type="paragraph" w:styleId="880">
    <w:name w:val="endnote text"/>
    <w:basedOn w:val="894"/>
    <w:link w:val="881"/>
    <w:uiPriority w:val="99"/>
    <w:semiHidden/>
    <w:unhideWhenUsed/>
    <w:pPr>
      <w:spacing w:after="0" w:line="240" w:lineRule="auto"/>
    </w:pPr>
    <w:rPr>
      <w:sz w:val="20"/>
    </w:rPr>
  </w:style>
  <w:style w:type="character" w:styleId="881">
    <w:name w:val="Endnote Text Char"/>
    <w:link w:val="880"/>
    <w:uiPriority w:val="99"/>
    <w:rPr>
      <w:sz w:val="20"/>
    </w:rPr>
  </w:style>
  <w:style w:type="character" w:styleId="882">
    <w:name w:val="endnote reference"/>
    <w:uiPriority w:val="99"/>
    <w:semiHidden/>
    <w:unhideWhenUsed/>
    <w:rPr>
      <w:vertAlign w:val="superscript"/>
    </w:rPr>
  </w:style>
  <w:style w:type="paragraph" w:styleId="883">
    <w:name w:val="toc 1"/>
    <w:basedOn w:val="894"/>
    <w:next w:val="894"/>
    <w:uiPriority w:val="39"/>
    <w:unhideWhenUsed/>
    <w:pPr>
      <w:ind w:left="0" w:right="0" w:firstLine="0"/>
      <w:spacing w:after="57"/>
    </w:pPr>
  </w:style>
  <w:style w:type="paragraph" w:styleId="884">
    <w:name w:val="toc 2"/>
    <w:basedOn w:val="894"/>
    <w:next w:val="894"/>
    <w:uiPriority w:val="39"/>
    <w:unhideWhenUsed/>
    <w:pPr>
      <w:ind w:left="283" w:right="0" w:firstLine="0"/>
      <w:spacing w:after="57"/>
    </w:pPr>
  </w:style>
  <w:style w:type="paragraph" w:styleId="885">
    <w:name w:val="toc 3"/>
    <w:basedOn w:val="894"/>
    <w:next w:val="894"/>
    <w:uiPriority w:val="39"/>
    <w:unhideWhenUsed/>
    <w:pPr>
      <w:ind w:left="567" w:right="0" w:firstLine="0"/>
      <w:spacing w:after="57"/>
    </w:pPr>
  </w:style>
  <w:style w:type="paragraph" w:styleId="886">
    <w:name w:val="toc 4"/>
    <w:basedOn w:val="894"/>
    <w:next w:val="894"/>
    <w:uiPriority w:val="39"/>
    <w:unhideWhenUsed/>
    <w:pPr>
      <w:ind w:left="850" w:right="0" w:firstLine="0"/>
      <w:spacing w:after="57"/>
    </w:pPr>
  </w:style>
  <w:style w:type="paragraph" w:styleId="887">
    <w:name w:val="toc 5"/>
    <w:basedOn w:val="894"/>
    <w:next w:val="894"/>
    <w:uiPriority w:val="39"/>
    <w:unhideWhenUsed/>
    <w:pPr>
      <w:ind w:left="1134" w:right="0" w:firstLine="0"/>
      <w:spacing w:after="57"/>
    </w:pPr>
  </w:style>
  <w:style w:type="paragraph" w:styleId="888">
    <w:name w:val="toc 6"/>
    <w:basedOn w:val="894"/>
    <w:next w:val="894"/>
    <w:uiPriority w:val="39"/>
    <w:unhideWhenUsed/>
    <w:pPr>
      <w:ind w:left="1417" w:right="0" w:firstLine="0"/>
      <w:spacing w:after="57"/>
    </w:pPr>
  </w:style>
  <w:style w:type="paragraph" w:styleId="889">
    <w:name w:val="toc 7"/>
    <w:basedOn w:val="894"/>
    <w:next w:val="894"/>
    <w:uiPriority w:val="39"/>
    <w:unhideWhenUsed/>
    <w:pPr>
      <w:ind w:left="1701" w:right="0" w:firstLine="0"/>
      <w:spacing w:after="57"/>
    </w:pPr>
  </w:style>
  <w:style w:type="paragraph" w:styleId="890">
    <w:name w:val="toc 8"/>
    <w:basedOn w:val="894"/>
    <w:next w:val="894"/>
    <w:uiPriority w:val="39"/>
    <w:unhideWhenUsed/>
    <w:pPr>
      <w:ind w:left="1984" w:right="0" w:firstLine="0"/>
      <w:spacing w:after="57"/>
    </w:pPr>
  </w:style>
  <w:style w:type="paragraph" w:styleId="891">
    <w:name w:val="toc 9"/>
    <w:basedOn w:val="894"/>
    <w:next w:val="894"/>
    <w:uiPriority w:val="39"/>
    <w:unhideWhenUsed/>
    <w:pPr>
      <w:ind w:left="2268" w:right="0" w:firstLine="0"/>
      <w:spacing w:after="57"/>
    </w:pPr>
  </w:style>
  <w:style w:type="paragraph" w:styleId="892">
    <w:name w:val="TOC Heading"/>
    <w:uiPriority w:val="39"/>
    <w:unhideWhenUsed/>
  </w:style>
  <w:style w:type="paragraph" w:styleId="893">
    <w:name w:val="table of figures"/>
    <w:basedOn w:val="894"/>
    <w:next w:val="894"/>
    <w:uiPriority w:val="99"/>
    <w:unhideWhenUsed/>
    <w:pPr>
      <w:spacing w:after="0" w:afterAutospacing="0"/>
    </w:pPr>
  </w:style>
  <w:style w:type="paragraph" w:styleId="894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9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96" w:default="1">
    <w:name w:val="No List"/>
    <w:uiPriority w:val="99"/>
    <w:semiHidden/>
    <w:unhideWhenUsed/>
  </w:style>
  <w:style w:type="paragraph" w:styleId="897">
    <w:name w:val="No Spacing"/>
    <w:basedOn w:val="894"/>
    <w:uiPriority w:val="1"/>
    <w:qFormat/>
    <w:pPr>
      <w:spacing w:after="0" w:line="240" w:lineRule="auto"/>
    </w:pPr>
  </w:style>
  <w:style w:type="paragraph" w:styleId="898">
    <w:name w:val="List Paragraph"/>
    <w:basedOn w:val="894"/>
    <w:uiPriority w:val="34"/>
    <w:qFormat/>
    <w:pPr>
      <w:contextualSpacing/>
      <w:ind w:left="720"/>
    </w:pPr>
  </w:style>
  <w:style w:type="character" w:styleId="89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Анастасия Метелева</cp:lastModifiedBy>
  <cp:revision>7</cp:revision>
  <dcterms:modified xsi:type="dcterms:W3CDTF">2026-09-01T14:24:48Z</dcterms:modified>
</cp:coreProperties>
</file>