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2"/>
        <w:ind w:left="0" w:right="0" w:firstLine="0"/>
        <w:spacing w:before="180" w:line="68" w:lineRule="atLeast"/>
        <w:shd w:val="clear" w:color="ffffff" w:fill="ffffff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Low-fidelity прототип</w:t>
      </w:r>
      <w:r>
        <w:rPr>
          <w:sz w:val="28"/>
          <w:szCs w:val="28"/>
        </w:rPr>
      </w:r>
    </w:p>
    <w:p>
      <w:p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1320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77923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513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76.63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760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5018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476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73.71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662"/>
        <w:ind w:left="0" w:right="0" w:firstLine="0"/>
        <w:spacing w:line="68" w:lineRule="atLeast"/>
        <w:shd w:val="clear" w:color="ffffff" w:fill="ffffff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High-fidelity прототип</w:t>
      </w:r>
      <w:r>
        <w:rPr>
          <w:sz w:val="28"/>
          <w:szCs w:val="28"/>
        </w:rPr>
      </w:r>
    </w:p>
    <w:p>
      <w:p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hyperlink r:id="rId11" w:tooltip="https://www.figma.com/proto/1XtA8F0jKctGP3WqhJdzjd/EcoLease?node-id=0-1&amp;t=lhc7AGrlrnOhhKWj-1" w:history="1">
        <w:r>
          <w:rPr>
            <w:rStyle w:val="814"/>
            <w:sz w:val="28"/>
            <w:szCs w:val="28"/>
            <w:highlight w:val="none"/>
            <w14:ligatures w14:val="none"/>
          </w:rPr>
          <w:t xml:space="preserve">https://www.figma.com/proto/1XtA8F0jKctGP3WqhJdzjd/EcoLease?node-id=0-1&amp;t=lhc7AGrlrnOhhKWj-1</w:t>
        </w:r>
        <w:r>
          <w:rPr>
            <w:rStyle w:val="814"/>
            <w:sz w:val="28"/>
            <w:szCs w:val="28"/>
            <w:highlight w:val="none"/>
            <w14:ligatures w14:val="none"/>
          </w:rPr>
        </w:r>
      </w:hyperlink>
      <w:r>
        <w:rPr>
          <w:sz w:val="28"/>
          <w:szCs w:val="28"/>
          <w:highlight w:val="none"/>
          <w14:ligatures w14:val="none"/>
        </w:rPr>
        <w:t xml:space="preserve">  </w:t>
      </w:r>
      <w:r>
        <w:rPr>
          <w:sz w:val="28"/>
          <w:szCs w:val="28"/>
          <w:highlight w:val="none"/>
          <w14:ligatures w14:val="none"/>
        </w:rPr>
      </w:r>
    </w:p>
    <w:p>
      <w:pPr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  <w14:ligatures w14:val="none"/>
        </w:rPr>
        <w:br w:type="page" w:clear="all"/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14:ligatures w14:val="none"/>
        </w:rPr>
        <w:t xml:space="preserve">Список метрик для измерения:</w:t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Style w:val="836"/>
        <w:numPr>
          <w:ilvl w:val="0"/>
          <w:numId w:val="2"/>
        </w:num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Доход</w:t>
      </w:r>
      <w:r>
        <w:rPr>
          <w:sz w:val="28"/>
          <w:szCs w:val="28"/>
          <w:highlight w:val="none"/>
          <w14:ligatures w14:val="none"/>
        </w:rPr>
        <w:t xml:space="preserve"> (за период)</w:t>
      </w:r>
      <w:r>
        <w:rPr>
          <w:sz w:val="28"/>
          <w:szCs w:val="28"/>
          <w:highlight w:val="none"/>
          <w14:ligatures w14:val="none"/>
        </w:rPr>
      </w:r>
    </w:p>
    <w:p>
      <w:pPr>
        <w:pStyle w:val="836"/>
        <w:numPr>
          <w:ilvl w:val="0"/>
          <w:numId w:val="2"/>
        </w:num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Расходы</w:t>
      </w:r>
      <w:r>
        <w:rPr>
          <w:sz w:val="28"/>
          <w:szCs w:val="28"/>
          <w:highlight w:val="none"/>
          <w14:ligatures w14:val="none"/>
        </w:rPr>
        <w:t xml:space="preserve"> (за период)</w:t>
      </w:r>
      <w:r>
        <w:rPr>
          <w:sz w:val="28"/>
          <w:szCs w:val="28"/>
          <w:highlight w:val="none"/>
          <w14:ligatures w14:val="none"/>
        </w:rPr>
      </w:r>
    </w:p>
    <w:p>
      <w:pPr>
        <w:pStyle w:val="836"/>
        <w:numPr>
          <w:ilvl w:val="0"/>
          <w:numId w:val="2"/>
        </w:num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Чистая прибыль</w:t>
      </w:r>
      <w:r>
        <w:rPr>
          <w:sz w:val="28"/>
          <w:szCs w:val="28"/>
          <w:highlight w:val="none"/>
          <w14:ligatures w14:val="none"/>
        </w:rPr>
        <w:t xml:space="preserve"> (Доход – расходы)</w:t>
      </w:r>
      <w:r>
        <w:rPr>
          <w:sz w:val="28"/>
          <w:szCs w:val="28"/>
          <w:highlight w:val="none"/>
          <w14:ligatures w14:val="none"/>
        </w:rPr>
      </w:r>
    </w:p>
    <w:p>
      <w:pPr>
        <w:pStyle w:val="836"/>
        <w:numPr>
          <w:ilvl w:val="0"/>
          <w:numId w:val="2"/>
        </w:num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Общая сумма задолженности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836"/>
        <w:numPr>
          <w:ilvl w:val="0"/>
          <w:numId w:val="2"/>
        </w:num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</w:rPr>
        <w:t xml:space="preserve">Общий показатель доходности (%)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836"/>
        <w:numPr>
          <w:ilvl w:val="0"/>
          <w:numId w:val="2"/>
        </w:num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Общее кол-во сделок (общее, активные, завершенные, просроченные)</w:t>
      </w:r>
      <w:r>
        <w:rPr>
          <w:sz w:val="28"/>
          <w:szCs w:val="28"/>
          <w:highlight w:val="none"/>
          <w14:ligatures w14:val="none"/>
        </w:rPr>
      </w:r>
    </w:p>
    <w:p>
      <w:pPr>
        <w:pStyle w:val="836"/>
        <w:numPr>
          <w:ilvl w:val="0"/>
          <w:numId w:val="2"/>
        </w:num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Общая сумма сделок за период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836"/>
        <w:numPr>
          <w:ilvl w:val="0"/>
          <w:numId w:val="2"/>
        </w:num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Средний чек за период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836"/>
        <w:numPr>
          <w:ilvl w:val="0"/>
          <w:numId w:val="2"/>
        </w:num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Сумма просроченных обязательств</w:t>
      </w:r>
      <w:r>
        <w:rPr>
          <w:sz w:val="28"/>
          <w:szCs w:val="28"/>
          <w:highlight w:val="none"/>
          <w14:ligatures w14:val="none"/>
        </w:rPr>
      </w:r>
    </w:p>
    <w:p>
      <w:pPr>
        <w:pStyle w:val="836"/>
        <w:numPr>
          <w:ilvl w:val="0"/>
          <w:numId w:val="2"/>
        </w:num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Доля юридических лиц, доля физических лиц</w:t>
      </w:r>
      <w:r>
        <w:rPr>
          <w:sz w:val="28"/>
          <w:szCs w:val="28"/>
          <w:highlight w:val="none"/>
          <w14:ligatures w14:val="none"/>
        </w:rPr>
      </w:r>
      <w:r/>
    </w:p>
    <w:p>
      <w:pPr>
        <w:pStyle w:val="836"/>
        <w:numPr>
          <w:ilvl w:val="0"/>
          <w:numId w:val="2"/>
        </w:num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Кол-во сделок (для воронки продаж: Новые, В работе, Одобрены,Закрыты)</w:t>
      </w:r>
      <w:r>
        <w:rPr>
          <w:sz w:val="28"/>
          <w:szCs w:val="28"/>
          <w:highlight w:val="none"/>
          <w14:ligatures w14:val="none"/>
        </w:rPr>
      </w:r>
    </w:p>
    <w:p>
      <w:pPr>
        <w:pStyle w:val="836"/>
        <w:numPr>
          <w:ilvl w:val="0"/>
          <w:numId w:val="2"/>
        </w:num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Конверсия между этапами сделок (%)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662"/>
        <w:ind w:left="0" w:right="0" w:firstLine="0"/>
        <w:spacing w:line="68" w:lineRule="atLeast"/>
        <w:shd w:val="clear" w:color="ffffff" w:fill="ffffff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Описание UI - элементов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hyperlink r:id="rId12" w:tooltip="https://docs.google.com/spreadsheets/d/18GWADm3aFkAVtdGp2wSfy0AG9fjksn1D3mOaQx_npz4/edit?usp=sharing" w:history="1">
        <w:r>
          <w:rPr>
            <w:rStyle w:val="814"/>
            <w:sz w:val="28"/>
            <w:szCs w:val="28"/>
          </w:rPr>
          <w:t xml:space="preserve">https://docs.google.com/spreadsheets/d/18GWADm3aFkAVtdGp2wSfy0AG9fjksn1D3mOaQx_npz4/edit?usp=sharing</w:t>
        </w:r>
        <w:r>
          <w:rPr>
            <w:rStyle w:val="814"/>
            <w:sz w:val="28"/>
            <w:szCs w:val="28"/>
          </w:rPr>
        </w:r>
      </w:hyperlink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/>
    <w:qFormat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hyperlink" Target="https://www.figma.com/proto/1XtA8F0jKctGP3WqhJdzjd/EcoLease?node-id=0-1&amp;t=lhc7AGrlrnOhhKWj-1" TargetMode="External"/><Relationship Id="rId12" Type="http://schemas.openxmlformats.org/officeDocument/2006/relationships/hyperlink" Target="https://docs.google.com/spreadsheets/d/18GWADm3aFkAVtdGp2wSfy0AG9fjksn1D3mOaQx_npz4/edit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Анастасия Метелева</cp:lastModifiedBy>
  <cp:revision>3</cp:revision>
  <dcterms:modified xsi:type="dcterms:W3CDTF">2026-02-13T06:33:14Z</dcterms:modified>
</cp:coreProperties>
</file>