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Källkontroll</w:t>
      </w:r>
    </w:p>
    <w:p>
      <w:r>
        <w:t>I NJA 2013 s. 372 finns en hänvisning.</w:t>
      </w:r>
      <w:r>
        <w:footnoteReference w:id="1"/>
      </w:r>
    </w:p>
    <w:tbl>
      <w:tr>
        <w:tc>
          <w:p>
            <w:r>
              <w:t>Tabelltext: 4 § avtalslagen.</w:t>
            </w:r>
          </w:p>
        </w:tc>
      </w:tr>
    </w:tbl>
  </w:body>
</w:document>
</file>

<file path=word/footnotes.xml><?xml version="1.0" encoding="utf-8"?>
<w:footnotes xmlns:w="http://schemas.openxmlformats.org/wordprocessingml/2006/main">
  <w:footnote w:id="1">
    <w:p>
      <w:r>
        <w:t>Se NJA 2013 s. 372.</w:t>
      </w:r>
    </w:p>
  </w:footnote>
</w:footnotes>
</file>

<file path=word/_rels/document.xml.rels><Relationships xmlns="http://schemas.openxmlformats.org/package/2006/relationships"><Relationship Id="rId1" Type="http://schemas.openxmlformats.org/officeDocument/2006/relationships/footnotes" Target="footnotes.xml"/></Relationships>
</file>