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EastAsia" w:hAnsi="Calibri" w:cstheme="minorBidi"/>
          <w:b w:val="0"/>
          <w:bCs w:val="0"/>
          <w:color w:val="auto"/>
          <w:sz w:val="22"/>
          <w:szCs w:val="22"/>
        </w:rPr>
        <w:id w:val="272359818"/>
        <w:docPartObj>
          <w:docPartGallery w:val="Table of Contents"/>
          <w:docPartUnique/>
        </w:docPartObj>
      </w:sdtPr>
      <w:sdtContent>
        <w:p w14:paraId="611018AE" w14:textId="77777777" w:rsidR="003743EC" w:rsidRDefault="00000000" w:rsidP="00CE26CC">
          <w:pPr>
            <w:pStyle w:val="TOCHeading"/>
            <w:spacing w:line="240" w:lineRule="auto"/>
          </w:pPr>
          <w:r>
            <w:t>Table of Contents</w:t>
          </w:r>
        </w:p>
        <w:p w14:paraId="050245DF" w14:textId="3A0DCA36" w:rsidR="00CE26CC" w:rsidRDefault="00000000" w:rsidP="00CE26CC">
          <w:pPr>
            <w:pStyle w:val="TOC1"/>
            <w:tabs>
              <w:tab w:val="right" w:leader="dot" w:pos="8630"/>
            </w:tabs>
            <w:spacing w:line="240" w:lineRule="auto"/>
            <w:rPr>
              <w:noProof/>
            </w:rPr>
          </w:pPr>
          <w:r>
            <w:fldChar w:fldCharType="begin"/>
            <w:instrText>TOC \o "1-3" \h \z \u</w:instrText>
            <w:fldChar w:fldCharType="separate"/>
          </w:r>
          <w:hyperlink w:anchor="_Toc232946682" w:history="1">
            <w:r>
              <w:rPr>
                <w:rStyle w:val="Hyperlink"/>
                <w:noProof/>
              </w:rPr>
              <w:t>Muressons Simulation — Simulation Design Document (SDD)</w:t>
            </w:r>
            <w:r>
              <w:rPr>
                <w:noProof/>
                <w:webHidden/>
              </w:rPr>
              <w:tab/>
              <w:fldChar w:fldCharType="begin"/>
              <w:instrText xml:space="preserve"> PAGEREF _Toc232946682 \h </w:instrText>
              <w:fldChar w:fldCharType="separate"/>
              <w:t>3</w:t>
              <w:fldChar w:fldCharType="end"/>
            </w:r>
          </w:hyperlink>
        </w:p>
        <w:p w14:paraId="433F21C7" w14:textId="03B260FE" w:rsidR="00CE26CC" w:rsidRDefault="00CE26CC" w:rsidP="00CE26CC">
          <w:pPr>
            <w:pStyle w:val="TOC2"/>
            <w:tabs>
              <w:tab w:val="right" w:leader="dot" w:pos="8630"/>
            </w:tabs>
            <w:spacing w:line="240" w:lineRule="auto"/>
            <w:rPr>
              <w:noProof/>
            </w:rPr>
          </w:pPr>
          <w:hyperlink w:anchor="_Toc232946683" w:history="1">
            <w:r>
              <w:rPr>
                <w:rStyle w:val="Hyperlink"/>
                <w:noProof/>
              </w:rPr>
              <w:t>Table of Contents</w:t>
            </w:r>
            <w:r>
              <w:rPr>
                <w:noProof/>
                <w:webHidden/>
              </w:rPr>
              <w:tab/>
              <w:fldChar w:fldCharType="begin"/>
              <w:instrText xml:space="preserve"> PAGEREF _Toc232946683 \h </w:instrText>
              <w:fldChar w:fldCharType="separate"/>
              <w:t>3</w:t>
              <w:fldChar w:fldCharType="end"/>
            </w:r>
          </w:hyperlink>
        </w:p>
        <w:p w14:paraId="67FF97BF" w14:textId="3FDB3301" w:rsidR="00CE26CC" w:rsidRDefault="00CE26CC" w:rsidP="00CE26CC">
          <w:pPr>
            <w:pStyle w:val="TOC2"/>
            <w:tabs>
              <w:tab w:val="right" w:leader="dot" w:pos="8630"/>
            </w:tabs>
            <w:spacing w:line="240" w:lineRule="auto"/>
            <w:rPr>
              <w:noProof/>
            </w:rPr>
          </w:pPr>
          <w:hyperlink w:anchor="_Toc232946684" w:history="1">
            <w:r>
              <w:rPr>
                <w:rStyle w:val="Hyperlink"/>
                <w:noProof/>
              </w:rPr>
              <w:t>1. Introduction &amp; Purpose of This Document</w:t>
            </w:r>
            <w:r>
              <w:rPr>
                <w:noProof/>
                <w:webHidden/>
              </w:rPr>
              <w:tab/>
              <w:fldChar w:fldCharType="begin"/>
              <w:instrText xml:space="preserve"> PAGEREF _Toc232946684 \h </w:instrText>
              <w:fldChar w:fldCharType="separate"/>
              <w:t>3</w:t>
              <w:fldChar w:fldCharType="end"/>
            </w:r>
          </w:hyperlink>
        </w:p>
        <w:p w14:paraId="536D6D07" w14:textId="62D19913" w:rsidR="00CE26CC" w:rsidRDefault="00CE26CC" w:rsidP="00CE26CC">
          <w:pPr>
            <w:pStyle w:val="TOC2"/>
            <w:tabs>
              <w:tab w:val="right" w:leader="dot" w:pos="8630"/>
            </w:tabs>
            <w:spacing w:line="240" w:lineRule="auto"/>
            <w:rPr>
              <w:noProof/>
            </w:rPr>
          </w:pPr>
          <w:hyperlink w:anchor="_Toc232946685" w:history="1">
            <w:r>
              <w:rPr>
                <w:rStyle w:val="Hyperlink"/>
                <w:noProof/>
              </w:rPr>
              <w:t>2. Design Philosophy</w:t>
            </w:r>
            <w:r>
              <w:rPr>
                <w:noProof/>
                <w:webHidden/>
              </w:rPr>
              <w:tab/>
              <w:fldChar w:fldCharType="begin"/>
              <w:instrText xml:space="preserve"> PAGEREF _Toc232946685 \h </w:instrText>
              <w:fldChar w:fldCharType="separate"/>
              <w:t>4</w:t>
              <w:fldChar w:fldCharType="end"/>
            </w:r>
          </w:hyperlink>
        </w:p>
        <w:p w14:paraId="27FC7BF0" w14:textId="454F9653" w:rsidR="00CE26CC" w:rsidRDefault="00CE26CC" w:rsidP="00CE26CC">
          <w:pPr>
            <w:pStyle w:val="TOC3"/>
            <w:tabs>
              <w:tab w:val="right" w:leader="dot" w:pos="8630"/>
            </w:tabs>
            <w:spacing w:line="240" w:lineRule="auto"/>
            <w:rPr>
              <w:noProof/>
            </w:rPr>
          </w:pPr>
          <w:hyperlink w:anchor="_Toc232946686" w:history="1">
            <w:r>
              <w:rPr>
                <w:rStyle w:val="Hyperlink"/>
                <w:noProof/>
              </w:rPr>
              <w:t>2.1 The Experiential Learning Foundation</w:t>
            </w:r>
            <w:r>
              <w:rPr>
                <w:noProof/>
                <w:webHidden/>
              </w:rPr>
              <w:tab/>
              <w:fldChar w:fldCharType="begin"/>
              <w:instrText xml:space="preserve"> PAGEREF _Toc232946686 \h </w:instrText>
              <w:fldChar w:fldCharType="separate"/>
              <w:t>4</w:t>
              <w:fldChar w:fldCharType="end"/>
            </w:r>
          </w:hyperlink>
        </w:p>
        <w:p w14:paraId="1C2B6A3A" w14:textId="4D7895AB" w:rsidR="00CE26CC" w:rsidRDefault="00CE26CC" w:rsidP="00CE26CC">
          <w:pPr>
            <w:pStyle w:val="TOC3"/>
            <w:tabs>
              <w:tab w:val="right" w:leader="dot" w:pos="8630"/>
            </w:tabs>
            <w:spacing w:line="240" w:lineRule="auto"/>
            <w:rPr>
              <w:noProof/>
            </w:rPr>
          </w:pPr>
          <w:hyperlink w:anchor="_Toc232946687" w:history="1">
            <w:r>
              <w:rPr>
                <w:rStyle w:val="Hyperlink"/>
                <w:noProof/>
              </w:rPr>
              <w:t>2.2 Bloom’s Taxonomy — Targeting Higher-Order Cognition</w:t>
            </w:r>
            <w:r>
              <w:rPr>
                <w:noProof/>
                <w:webHidden/>
              </w:rPr>
              <w:tab/>
              <w:fldChar w:fldCharType="begin"/>
              <w:instrText xml:space="preserve"> PAGEREF _Toc232946687 \h </w:instrText>
              <w:fldChar w:fldCharType="separate"/>
              <w:t>5</w:t>
              <w:fldChar w:fldCharType="end"/>
            </w:r>
          </w:hyperlink>
        </w:p>
        <w:p w14:paraId="4896E3D9" w14:textId="30CFF80F" w:rsidR="00CE26CC" w:rsidRDefault="00CE26CC" w:rsidP="00CE26CC">
          <w:pPr>
            <w:pStyle w:val="TOC3"/>
            <w:tabs>
              <w:tab w:val="right" w:leader="dot" w:pos="8630"/>
            </w:tabs>
            <w:spacing w:line="240" w:lineRule="auto"/>
            <w:rPr>
              <w:noProof/>
            </w:rPr>
          </w:pPr>
          <w:hyperlink w:anchor="_Toc232946688" w:history="1">
            <w:r>
              <w:rPr>
                <w:rStyle w:val="Hyperlink"/>
                <w:noProof/>
              </w:rPr>
              <w:t>2.3 The Fog of War — Simulating Real Governance Uncertainty</w:t>
            </w:r>
            <w:r>
              <w:rPr>
                <w:noProof/>
                <w:webHidden/>
              </w:rPr>
              <w:tab/>
              <w:fldChar w:fldCharType="begin"/>
              <w:instrText xml:space="preserve"> PAGEREF _Toc232946688 \h </w:instrText>
              <w:fldChar w:fldCharType="separate"/>
              <w:t>5</w:t>
              <w:fldChar w:fldCharType="end"/>
            </w:r>
          </w:hyperlink>
        </w:p>
        <w:p w14:paraId="5FAFDF2F" w14:textId="134CAE51" w:rsidR="00CE26CC" w:rsidRDefault="00CE26CC" w:rsidP="00CE26CC">
          <w:pPr>
            <w:pStyle w:val="TOC3"/>
            <w:tabs>
              <w:tab w:val="right" w:leader="dot" w:pos="8630"/>
            </w:tabs>
            <w:spacing w:line="240" w:lineRule="auto"/>
            <w:rPr>
              <w:noProof/>
            </w:rPr>
          </w:pPr>
          <w:hyperlink w:anchor="_Toc232946689" w:history="1">
            <w:r>
              <w:rPr>
                <w:rStyle w:val="Hyperlink"/>
                <w:noProof/>
              </w:rPr>
              <w:t>2.4 The Double-Loop Learning Device</w:t>
            </w:r>
            <w:r>
              <w:rPr>
                <w:noProof/>
                <w:webHidden/>
              </w:rPr>
              <w:tab/>
              <w:fldChar w:fldCharType="begin"/>
              <w:instrText xml:space="preserve"> PAGEREF _Toc232946689 \h </w:instrText>
              <w:fldChar w:fldCharType="separate"/>
              <w:t>6</w:t>
              <w:fldChar w:fldCharType="end"/>
            </w:r>
          </w:hyperlink>
        </w:p>
        <w:p w14:paraId="791208BB" w14:textId="387B8D67" w:rsidR="00CE26CC" w:rsidRDefault="00CE26CC" w:rsidP="00CE26CC">
          <w:pPr>
            <w:pStyle w:val="TOC2"/>
            <w:tabs>
              <w:tab w:val="right" w:leader="dot" w:pos="8630"/>
            </w:tabs>
            <w:spacing w:line="240" w:lineRule="auto"/>
            <w:rPr>
              <w:noProof/>
            </w:rPr>
          </w:pPr>
          <w:hyperlink w:anchor="_Toc232946690" w:history="1">
            <w:r>
              <w:rPr>
                <w:rStyle w:val="Hyperlink"/>
                <w:noProof/>
              </w:rPr>
              <w:t>3. Learning Objectives by Round</w:t>
            </w:r>
            <w:r>
              <w:rPr>
                <w:noProof/>
                <w:webHidden/>
              </w:rPr>
              <w:tab/>
              <w:fldChar w:fldCharType="begin"/>
              <w:instrText xml:space="preserve"> PAGEREF _Toc232946690 \h </w:instrText>
              <w:fldChar w:fldCharType="separate"/>
              <w:t>6</w:t>
              <w:fldChar w:fldCharType="end"/>
            </w:r>
          </w:hyperlink>
        </w:p>
        <w:p w14:paraId="43E5D509" w14:textId="67629145" w:rsidR="00CE26CC" w:rsidRDefault="00CE26CC" w:rsidP="00CE26CC">
          <w:pPr>
            <w:pStyle w:val="TOC3"/>
            <w:tabs>
              <w:tab w:val="right" w:leader="dot" w:pos="8630"/>
            </w:tabs>
            <w:spacing w:line="240" w:lineRule="auto"/>
            <w:rPr>
              <w:noProof/>
            </w:rPr>
          </w:pPr>
          <w:hyperlink w:anchor="_Toc232946691" w:history="1">
            <w:r>
              <w:rPr>
                <w:rStyle w:val="Hyperlink"/>
                <w:noProof/>
              </w:rPr>
              <w:t>Round 1 — Stakeholder Mapping and the Value of Information</w:t>
            </w:r>
            <w:r>
              <w:rPr>
                <w:noProof/>
                <w:webHidden/>
              </w:rPr>
              <w:tab/>
              <w:fldChar w:fldCharType="begin"/>
              <w:instrText xml:space="preserve"> PAGEREF _Toc232946691 \h </w:instrText>
              <w:fldChar w:fldCharType="separate"/>
              <w:t>6</w:t>
              <w:fldChar w:fldCharType="end"/>
            </w:r>
          </w:hyperlink>
        </w:p>
        <w:p w14:paraId="632A91B6" w14:textId="0979A1EA" w:rsidR="00CE26CC" w:rsidRDefault="00CE26CC" w:rsidP="00CE26CC">
          <w:pPr>
            <w:pStyle w:val="TOC3"/>
            <w:tabs>
              <w:tab w:val="right" w:leader="dot" w:pos="8630"/>
            </w:tabs>
            <w:spacing w:line="240" w:lineRule="auto"/>
            <w:rPr>
              <w:noProof/>
            </w:rPr>
          </w:pPr>
          <w:hyperlink w:anchor="_Toc232946692" w:history="1">
            <w:r>
              <w:rPr>
                <w:rStyle w:val="Hyperlink"/>
                <w:noProof/>
              </w:rPr>
              <w:t>Round 2 — Double Materiality and Legitimacy</w:t>
            </w:r>
            <w:r>
              <w:rPr>
                <w:noProof/>
                <w:webHidden/>
              </w:rPr>
              <w:tab/>
              <w:fldChar w:fldCharType="begin"/>
              <w:instrText xml:space="preserve"> PAGEREF _Toc232946692 \h </w:instrText>
              <w:fldChar w:fldCharType="separate"/>
              <w:t>7</w:t>
              <w:fldChar w:fldCharType="end"/>
            </w:r>
          </w:hyperlink>
        </w:p>
        <w:p w14:paraId="7324CBFB" w14:textId="6F91B0D6" w:rsidR="00CE26CC" w:rsidRDefault="00CE26CC" w:rsidP="00CE26CC">
          <w:pPr>
            <w:pStyle w:val="TOC3"/>
            <w:tabs>
              <w:tab w:val="right" w:leader="dot" w:pos="8630"/>
            </w:tabs>
            <w:spacing w:line="240" w:lineRule="auto"/>
            <w:rPr>
              <w:noProof/>
            </w:rPr>
          </w:pPr>
          <w:hyperlink w:anchor="_Toc232946693" w:history="1">
            <w:r>
              <w:rPr>
                <w:rStyle w:val="Hyperlink"/>
                <w:noProof/>
              </w:rPr>
              <w:t>Round 3 — Scope 3 Accounting and First-Mover Advantage</w:t>
            </w:r>
            <w:r>
              <w:rPr>
                <w:noProof/>
                <w:webHidden/>
              </w:rPr>
              <w:tab/>
              <w:fldChar w:fldCharType="begin"/>
              <w:instrText xml:space="preserve"> PAGEREF _Toc232946693 \h </w:instrText>
              <w:fldChar w:fldCharType="separate"/>
              <w:t>8</w:t>
              <w:fldChar w:fldCharType="end"/>
            </w:r>
          </w:hyperlink>
        </w:p>
        <w:p w14:paraId="65B2465B" w14:textId="1F6A20B4" w:rsidR="00CE26CC" w:rsidRDefault="00CE26CC" w:rsidP="00CE26CC">
          <w:pPr>
            <w:pStyle w:val="TOC3"/>
            <w:tabs>
              <w:tab w:val="right" w:leader="dot" w:pos="8630"/>
            </w:tabs>
            <w:spacing w:line="240" w:lineRule="auto"/>
            <w:rPr>
              <w:noProof/>
            </w:rPr>
          </w:pPr>
          <w:hyperlink w:anchor="_Toc232946694" w:history="1">
            <w:r>
              <w:rPr>
                <w:rStyle w:val="Hyperlink"/>
                <w:noProof/>
              </w:rPr>
              <w:t>Round 4 — Double-Loop Learning and Path Dependency</w:t>
            </w:r>
            <w:r>
              <w:rPr>
                <w:noProof/>
                <w:webHidden/>
              </w:rPr>
              <w:tab/>
              <w:fldChar w:fldCharType="begin"/>
              <w:instrText xml:space="preserve"> PAGEREF _Toc232946694 \h </w:instrText>
              <w:fldChar w:fldCharType="separate"/>
              <w:t>8</w:t>
              <w:fldChar w:fldCharType="end"/>
            </w:r>
          </w:hyperlink>
        </w:p>
        <w:p w14:paraId="0341F9BD" w14:textId="42713708" w:rsidR="00CE26CC" w:rsidRDefault="00CE26CC" w:rsidP="00CE26CC">
          <w:pPr>
            <w:pStyle w:val="TOC3"/>
            <w:tabs>
              <w:tab w:val="right" w:leader="dot" w:pos="8630"/>
            </w:tabs>
            <w:spacing w:line="240" w:lineRule="auto"/>
            <w:rPr>
              <w:noProof/>
            </w:rPr>
          </w:pPr>
          <w:hyperlink w:anchor="_Toc232946695" w:history="1">
            <w:r>
              <w:rPr>
                <w:rStyle w:val="Hyperlink"/>
                <w:noProof/>
              </w:rPr>
              <w:t>Round 5 — Physical Climate Risk and Stewardship Governance</w:t>
            </w:r>
            <w:r>
              <w:rPr>
                <w:noProof/>
                <w:webHidden/>
              </w:rPr>
              <w:tab/>
              <w:fldChar w:fldCharType="begin"/>
              <w:instrText xml:space="preserve"> PAGEREF _Toc232946695 \h </w:instrText>
              <w:fldChar w:fldCharType="separate"/>
              <w:t>9</w:t>
              <w:fldChar w:fldCharType="end"/>
            </w:r>
          </w:hyperlink>
        </w:p>
        <w:p w14:paraId="1516719F" w14:textId="506546B8" w:rsidR="00CE26CC" w:rsidRDefault="00CE26CC" w:rsidP="00CE26CC">
          <w:pPr>
            <w:pStyle w:val="TOC3"/>
            <w:tabs>
              <w:tab w:val="right" w:leader="dot" w:pos="8630"/>
            </w:tabs>
            <w:spacing w:line="240" w:lineRule="auto"/>
            <w:rPr>
              <w:noProof/>
            </w:rPr>
          </w:pPr>
          <w:hyperlink w:anchor="_Toc232946696" w:history="1">
            <w:r>
              <w:rPr>
                <w:rStyle w:val="Hyperlink"/>
                <w:noProof/>
              </w:rPr>
              <w:t>Round 6 — AI Ethics and Algorithmic Governance</w:t>
            </w:r>
            <w:r>
              <w:rPr>
                <w:noProof/>
                <w:webHidden/>
              </w:rPr>
              <w:tab/>
              <w:fldChar w:fldCharType="begin"/>
              <w:instrText xml:space="preserve"> PAGEREF _Toc232946696 \h </w:instrText>
              <w:fldChar w:fldCharType="separate"/>
              <w:t>10</w:t>
              <w:fldChar w:fldCharType="end"/>
            </w:r>
          </w:hyperlink>
        </w:p>
        <w:p w14:paraId="1911AFD1" w14:textId="18944BCA" w:rsidR="00CE26CC" w:rsidRDefault="00CE26CC" w:rsidP="00CE26CC">
          <w:pPr>
            <w:pStyle w:val="TOC3"/>
            <w:tabs>
              <w:tab w:val="right" w:leader="dot" w:pos="8630"/>
            </w:tabs>
            <w:spacing w:line="240" w:lineRule="auto"/>
            <w:rPr>
              <w:noProof/>
            </w:rPr>
          </w:pPr>
          <w:hyperlink w:anchor="_Toc232946697" w:history="1">
            <w:r>
              <w:rPr>
                <w:rStyle w:val="Hyperlink"/>
                <w:noProof/>
              </w:rPr>
              <w:t>Round 7 — Circular Economy and Shared Value</w:t>
            </w:r>
            <w:r>
              <w:rPr>
                <w:noProof/>
                <w:webHidden/>
              </w:rPr>
              <w:tab/>
              <w:fldChar w:fldCharType="begin"/>
              <w:instrText xml:space="preserve"> PAGEREF _Toc232946697 \h </w:instrText>
              <w:fldChar w:fldCharType="separate"/>
              <w:t>10</w:t>
              <w:fldChar w:fldCharType="end"/>
            </w:r>
          </w:hyperlink>
        </w:p>
        <w:p w14:paraId="5692A13E" w14:textId="1A338465" w:rsidR="00CE26CC" w:rsidRDefault="00CE26CC" w:rsidP="00CE26CC">
          <w:pPr>
            <w:pStyle w:val="TOC3"/>
            <w:tabs>
              <w:tab w:val="right" w:leader="dot" w:pos="8630"/>
            </w:tabs>
            <w:spacing w:line="240" w:lineRule="auto"/>
            <w:rPr>
              <w:noProof/>
            </w:rPr>
          </w:pPr>
          <w:hyperlink w:anchor="_Toc232946698" w:history="1">
            <w:r>
              <w:rPr>
                <w:rStyle w:val="Hyperlink"/>
                <w:noProof/>
              </w:rPr>
              <w:t>Round 8 — Water Stewardship and Nature Risk</w:t>
            </w:r>
            <w:r>
              <w:rPr>
                <w:noProof/>
                <w:webHidden/>
              </w:rPr>
              <w:tab/>
              <w:fldChar w:fldCharType="begin"/>
              <w:instrText xml:space="preserve"> PAGEREF _Toc232946698 \h </w:instrText>
              <w:fldChar w:fldCharType="separate"/>
              <w:t>11</w:t>
              <w:fldChar w:fldCharType="end"/>
            </w:r>
          </w:hyperlink>
        </w:p>
        <w:p w14:paraId="5240A9D4" w14:textId="2E3C3563" w:rsidR="00CE26CC" w:rsidRDefault="00CE26CC" w:rsidP="00CE26CC">
          <w:pPr>
            <w:pStyle w:val="TOC3"/>
            <w:tabs>
              <w:tab w:val="right" w:leader="dot" w:pos="8630"/>
            </w:tabs>
            <w:spacing w:line="240" w:lineRule="auto"/>
            <w:rPr>
              <w:noProof/>
            </w:rPr>
          </w:pPr>
          <w:hyperlink w:anchor="_Toc232946699" w:history="1">
            <w:r>
              <w:rPr>
                <w:rStyle w:val="Hyperlink"/>
                <w:noProof/>
              </w:rPr>
              <w:t>Round 9 — Just Transition and Social Contract</w:t>
            </w:r>
            <w:r>
              <w:rPr>
                <w:noProof/>
                <w:webHidden/>
              </w:rPr>
              <w:tab/>
              <w:fldChar w:fldCharType="begin"/>
              <w:instrText xml:space="preserve"> PAGEREF _Toc232946699 \h </w:instrText>
              <w:fldChar w:fldCharType="separate"/>
              <w:t>12</w:t>
              <w:fldChar w:fldCharType="end"/>
            </w:r>
          </w:hyperlink>
        </w:p>
        <w:p w14:paraId="15C00FD9" w14:textId="5A504F61" w:rsidR="00CE26CC" w:rsidRDefault="00CE26CC" w:rsidP="00CE26CC">
          <w:pPr>
            <w:pStyle w:val="TOC3"/>
            <w:tabs>
              <w:tab w:val="right" w:leader="dot" w:pos="8630"/>
            </w:tabs>
            <w:spacing w:line="240" w:lineRule="auto"/>
            <w:rPr>
              <w:noProof/>
            </w:rPr>
          </w:pPr>
          <w:hyperlink w:anchor="_Toc232946700" w:history="1">
            <w:r>
              <w:rPr>
                <w:rStyle w:val="Hyperlink"/>
                <w:noProof/>
              </w:rPr>
              <w:t>Round 10 — Integration and Terminal Valuation</w:t>
            </w:r>
            <w:r>
              <w:rPr>
                <w:noProof/>
                <w:webHidden/>
              </w:rPr>
              <w:tab/>
              <w:fldChar w:fldCharType="begin"/>
              <w:instrText xml:space="preserve"> PAGEREF _Toc232946700 \h </w:instrText>
              <w:fldChar w:fldCharType="separate"/>
              <w:t>12</w:t>
              <w:fldChar w:fldCharType="end"/>
            </w:r>
          </w:hyperlink>
        </w:p>
        <w:p w14:paraId="042CA58B" w14:textId="2B0CD84F" w:rsidR="00CE26CC" w:rsidRDefault="00CE26CC" w:rsidP="00CE26CC">
          <w:pPr>
            <w:pStyle w:val="TOC2"/>
            <w:tabs>
              <w:tab w:val="right" w:leader="dot" w:pos="8630"/>
            </w:tabs>
            <w:spacing w:line="240" w:lineRule="auto"/>
            <w:rPr>
              <w:noProof/>
            </w:rPr>
          </w:pPr>
          <w:hyperlink w:anchor="_Toc232946701" w:history="1">
            <w:r>
              <w:rPr>
                <w:rStyle w:val="Hyperlink"/>
                <w:noProof/>
              </w:rPr>
              <w:t>4. The Pedagogical Engine</w:t>
            </w:r>
            <w:r>
              <w:rPr>
                <w:noProof/>
                <w:webHidden/>
              </w:rPr>
              <w:tab/>
              <w:fldChar w:fldCharType="begin"/>
              <w:instrText xml:space="preserve"> PAGEREF _Toc232946701 \h </w:instrText>
              <w:fldChar w:fldCharType="separate"/>
              <w:t>13</w:t>
              <w:fldChar w:fldCharType="end"/>
            </w:r>
          </w:hyperlink>
        </w:p>
        <w:p w14:paraId="3FD77154" w14:textId="091E1D7B" w:rsidR="00CE26CC" w:rsidRDefault="00CE26CC" w:rsidP="00CE26CC">
          <w:pPr>
            <w:pStyle w:val="TOC3"/>
            <w:tabs>
              <w:tab w:val="right" w:leader="dot" w:pos="8630"/>
            </w:tabs>
            <w:spacing w:line="240" w:lineRule="auto"/>
            <w:rPr>
              <w:noProof/>
            </w:rPr>
          </w:pPr>
          <w:hyperlink w:anchor="_Toc232946702" w:history="1">
            <w:r>
              <w:rPr>
                <w:rStyle w:val="Hyperlink"/>
                <w:noProof/>
              </w:rPr>
              <w:t>4.1 Architecture</w:t>
            </w:r>
            <w:r>
              <w:rPr>
                <w:noProof/>
                <w:webHidden/>
              </w:rPr>
              <w:tab/>
              <w:fldChar w:fldCharType="begin"/>
              <w:instrText xml:space="preserve"> PAGEREF _Toc232946702 \h </w:instrText>
              <w:fldChar w:fldCharType="separate"/>
              <w:t>13</w:t>
              <w:fldChar w:fldCharType="end"/>
            </w:r>
          </w:hyperlink>
        </w:p>
        <w:p w14:paraId="47238752" w14:textId="1900D226" w:rsidR="00CE26CC" w:rsidRDefault="00CE26CC" w:rsidP="00CE26CC">
          <w:pPr>
            <w:pStyle w:val="TOC3"/>
            <w:tabs>
              <w:tab w:val="right" w:leader="dot" w:pos="8630"/>
            </w:tabs>
            <w:spacing w:line="240" w:lineRule="auto"/>
            <w:rPr>
              <w:noProof/>
            </w:rPr>
          </w:pPr>
          <w:hyperlink w:anchor="_Toc232946703" w:history="1">
            <w:r>
              <w:rPr>
                <w:rStyle w:val="Hyperlink"/>
                <w:noProof/>
              </w:rPr>
              <w:t>4.2 Board Room Moments (BRM)</w:t>
            </w:r>
            <w:r>
              <w:rPr>
                <w:noProof/>
                <w:webHidden/>
              </w:rPr>
              <w:tab/>
              <w:fldChar w:fldCharType="begin"/>
              <w:instrText xml:space="preserve"> PAGEREF _Toc232946703 \h </w:instrText>
              <w:fldChar w:fldCharType="separate"/>
              <w:t>13</w:t>
              <w:fldChar w:fldCharType="end"/>
            </w:r>
          </w:hyperlink>
        </w:p>
        <w:p w14:paraId="390B2C88" w14:textId="1AA35E98" w:rsidR="00CE26CC" w:rsidRDefault="00CE26CC" w:rsidP="00CE26CC">
          <w:pPr>
            <w:pStyle w:val="TOC3"/>
            <w:tabs>
              <w:tab w:val="right" w:leader="dot" w:pos="8630"/>
            </w:tabs>
            <w:spacing w:line="240" w:lineRule="auto"/>
            <w:rPr>
              <w:noProof/>
            </w:rPr>
          </w:pPr>
          <w:hyperlink w:anchor="_Toc232946704" w:history="1">
            <w:r>
              <w:rPr>
                <w:rStyle w:val="Hyperlink"/>
                <w:noProof/>
              </w:rPr>
              <w:t>4.3 The CEO Diary (</w:t>
            </w:r>
            <w:r>
              <w:rPr>
                <w:rStyle w:val="Hyperlink"/>
                <w:rFonts w:ascii="Courier New" w:hAnsi="Courier New"/>
                <w:noProof/>
              </w:rPr>
              <w:t>ceo_diary.py</w:t>
            </w:r>
            <w:r>
              <w:rPr>
                <w:rStyle w:val="Hyperlink"/>
                <w:noProof/>
              </w:rPr>
              <w:t>)</w:t>
            </w:r>
            <w:r>
              <w:rPr>
                <w:noProof/>
                <w:webHidden/>
              </w:rPr>
              <w:tab/>
              <w:fldChar w:fldCharType="begin"/>
              <w:instrText xml:space="preserve"> PAGEREF _Toc232946704 \h </w:instrText>
              <w:fldChar w:fldCharType="separate"/>
              <w:t>14</w:t>
              <w:fldChar w:fldCharType="end"/>
            </w:r>
          </w:hyperlink>
        </w:p>
        <w:p w14:paraId="7CB82BC7" w14:textId="635BC3A3" w:rsidR="00CE26CC" w:rsidRDefault="00CE26CC" w:rsidP="00CE26CC">
          <w:pPr>
            <w:pStyle w:val="TOC3"/>
            <w:tabs>
              <w:tab w:val="right" w:leader="dot" w:pos="8630"/>
            </w:tabs>
            <w:spacing w:line="240" w:lineRule="auto"/>
            <w:rPr>
              <w:noProof/>
            </w:rPr>
          </w:pPr>
          <w:hyperlink w:anchor="_Toc232946705" w:history="1">
            <w:r>
              <w:rPr>
                <w:rStyle w:val="Hyperlink"/>
                <w:noProof/>
              </w:rPr>
              <w:t>4.4 The AI Podcast — Dual Perspective Design</w:t>
            </w:r>
            <w:r>
              <w:rPr>
                <w:noProof/>
                <w:webHidden/>
              </w:rPr>
              <w:tab/>
              <w:fldChar w:fldCharType="begin"/>
              <w:instrText xml:space="preserve"> PAGEREF _Toc232946705 \h </w:instrText>
              <w:fldChar w:fldCharType="separate"/>
              <w:t>14</w:t>
              <w:fldChar w:fldCharType="end"/>
            </w:r>
          </w:hyperlink>
        </w:p>
        <w:p w14:paraId="40747159" w14:textId="416896C3" w:rsidR="00CE26CC" w:rsidRDefault="00CE26CC" w:rsidP="00CE26CC">
          <w:pPr>
            <w:pStyle w:val="TOC3"/>
            <w:tabs>
              <w:tab w:val="right" w:leader="dot" w:pos="8630"/>
            </w:tabs>
            <w:spacing w:line="240" w:lineRule="auto"/>
            <w:rPr>
              <w:noProof/>
            </w:rPr>
          </w:pPr>
          <w:hyperlink w:anchor="_Toc232946706" w:history="1">
            <w:r>
              <w:rPr>
                <w:rStyle w:val="Hyperlink"/>
                <w:noProof/>
              </w:rPr>
              <w:t>4.5 Real World Parallels (</w:t>
            </w:r>
            <w:r>
              <w:rPr>
                <w:rStyle w:val="Hyperlink"/>
                <w:rFonts w:ascii="Courier New" w:hAnsi="Courier New"/>
                <w:noProof/>
              </w:rPr>
              <w:t>real_world_parallels.py</w:t>
            </w:r>
            <w:r>
              <w:rPr>
                <w:rStyle w:val="Hyperlink"/>
                <w:noProof/>
              </w:rPr>
              <w:t>)</w:t>
            </w:r>
            <w:r>
              <w:rPr>
                <w:noProof/>
                <w:webHidden/>
              </w:rPr>
              <w:tab/>
              <w:fldChar w:fldCharType="begin"/>
              <w:instrText xml:space="preserve"> PAGEREF _Toc232946706 \h </w:instrText>
              <w:fldChar w:fldCharType="separate"/>
              <w:t>14</w:t>
              <w:fldChar w:fldCharType="end"/>
            </w:r>
          </w:hyperlink>
        </w:p>
        <w:p w14:paraId="4E2D2724" w14:textId="363EBAA1" w:rsidR="00CE26CC" w:rsidRDefault="00CE26CC" w:rsidP="00CE26CC">
          <w:pPr>
            <w:pStyle w:val="TOC2"/>
            <w:tabs>
              <w:tab w:val="right" w:leader="dot" w:pos="8630"/>
            </w:tabs>
            <w:spacing w:line="240" w:lineRule="auto"/>
            <w:rPr>
              <w:noProof/>
            </w:rPr>
          </w:pPr>
          <w:hyperlink w:anchor="_Toc232946707" w:history="1">
            <w:r>
              <w:rPr>
                <w:rStyle w:val="Hyperlink"/>
                <w:noProof/>
              </w:rPr>
              <w:t>5. The Flag System as a Learning Design Tool</w:t>
            </w:r>
            <w:r>
              <w:rPr>
                <w:noProof/>
                <w:webHidden/>
              </w:rPr>
              <w:tab/>
              <w:fldChar w:fldCharType="begin"/>
              <w:instrText xml:space="preserve"> PAGEREF _Toc232946707 \h </w:instrText>
              <w:fldChar w:fldCharType="separate"/>
              <w:t>15</w:t>
              <w:fldChar w:fldCharType="end"/>
            </w:r>
          </w:hyperlink>
        </w:p>
        <w:p w14:paraId="354378AE" w14:textId="2241982A" w:rsidR="00CE26CC" w:rsidRDefault="00CE26CC" w:rsidP="00CE26CC">
          <w:pPr>
            <w:pStyle w:val="TOC3"/>
            <w:tabs>
              <w:tab w:val="right" w:leader="dot" w:pos="8630"/>
            </w:tabs>
            <w:spacing w:line="240" w:lineRule="auto"/>
            <w:rPr>
              <w:noProof/>
            </w:rPr>
          </w:pPr>
          <w:hyperlink w:anchor="_Toc232946708" w:history="1">
            <w:r>
              <w:rPr>
                <w:rStyle w:val="Hyperlink"/>
                <w:noProof/>
              </w:rPr>
              <w:t>5.1 Design Purpose</w:t>
            </w:r>
            <w:r>
              <w:rPr>
                <w:noProof/>
                <w:webHidden/>
              </w:rPr>
              <w:tab/>
              <w:fldChar w:fldCharType="begin"/>
              <w:instrText xml:space="preserve"> PAGEREF _Toc232946708 \h </w:instrText>
              <w:fldChar w:fldCharType="separate"/>
              <w:t>15</w:t>
              <w:fldChar w:fldCharType="end"/>
            </w:r>
          </w:hyperlink>
        </w:p>
        <w:p w14:paraId="78797490" w14:textId="7D78BC18" w:rsidR="00CE26CC" w:rsidRDefault="00CE26CC" w:rsidP="00CE26CC">
          <w:pPr>
            <w:pStyle w:val="TOC3"/>
            <w:tabs>
              <w:tab w:val="right" w:leader="dot" w:pos="8630"/>
            </w:tabs>
            <w:spacing w:line="240" w:lineRule="auto"/>
            <w:rPr>
              <w:noProof/>
            </w:rPr>
          </w:pPr>
          <w:hyperlink w:anchor="_Toc232946709" w:history="1">
            <w:r>
              <w:rPr>
                <w:rStyle w:val="Hyperlink"/>
                <w:noProof/>
              </w:rPr>
              <w:t>5.2 The 3-Round Delay Principle</w:t>
            </w:r>
            <w:r>
              <w:rPr>
                <w:noProof/>
                <w:webHidden/>
              </w:rPr>
              <w:tab/>
              <w:fldChar w:fldCharType="begin"/>
              <w:instrText xml:space="preserve"> PAGEREF _Toc232946709 \h </w:instrText>
              <w:fldChar w:fldCharType="separate"/>
              <w:t>15</w:t>
              <w:fldChar w:fldCharType="end"/>
            </w:r>
          </w:hyperlink>
        </w:p>
        <w:p w14:paraId="6679B1D8" w14:textId="51EBDD12" w:rsidR="00CE26CC" w:rsidRDefault="00CE26CC" w:rsidP="00CE26CC">
          <w:pPr>
            <w:pStyle w:val="TOC3"/>
            <w:tabs>
              <w:tab w:val="right" w:leader="dot" w:pos="8630"/>
            </w:tabs>
            <w:spacing w:line="240" w:lineRule="auto"/>
            <w:rPr>
              <w:noProof/>
            </w:rPr>
          </w:pPr>
          <w:hyperlink w:anchor="_Toc232946710" w:history="1">
            <w:r>
              <w:rPr>
                <w:rStyle w:val="Hyperlink"/>
                <w:noProof/>
              </w:rPr>
              <w:t>5.3 Foreshadowing KPIs — Teaching Early Warning Signal Reading</w:t>
            </w:r>
            <w:r>
              <w:rPr>
                <w:noProof/>
                <w:webHidden/>
              </w:rPr>
              <w:tab/>
              <w:fldChar w:fldCharType="begin"/>
              <w:instrText xml:space="preserve"> PAGEREF _Toc232946710 \h </w:instrText>
              <w:fldChar w:fldCharType="separate"/>
              <w:t>15</w:t>
              <w:fldChar w:fldCharType="end"/>
            </w:r>
          </w:hyperlink>
        </w:p>
        <w:p w14:paraId="65A89D48" w14:textId="144D6E26" w:rsidR="00CE26CC" w:rsidRDefault="00CE26CC" w:rsidP="00CE26CC">
          <w:pPr>
            <w:pStyle w:val="TOC3"/>
            <w:tabs>
              <w:tab w:val="right" w:leader="dot" w:pos="8630"/>
            </w:tabs>
            <w:spacing w:line="240" w:lineRule="auto"/>
            <w:rPr>
              <w:noProof/>
            </w:rPr>
          </w:pPr>
          <w:hyperlink w:anchor="_Toc232946711" w:history="1">
            <w:r>
              <w:rPr>
                <w:rStyle w:val="Hyperlink"/>
                <w:noProof/>
              </w:rPr>
              <w:t>5.4 Pathway Concealment — Modelling Strategic Uncertainty</w:t>
            </w:r>
            <w:r>
              <w:rPr>
                <w:noProof/>
                <w:webHidden/>
              </w:rPr>
              <w:tab/>
              <w:fldChar w:fldCharType="begin"/>
              <w:instrText xml:space="preserve"> PAGEREF _Toc232946711 \h </w:instrText>
              <w:fldChar w:fldCharType="separate"/>
              <w:t>15</w:t>
              <w:fldChar w:fldCharType="end"/>
            </w:r>
          </w:hyperlink>
        </w:p>
        <w:p w14:paraId="10A6CFFD" w14:textId="598C01E7" w:rsidR="00CE26CC" w:rsidRDefault="00CE26CC" w:rsidP="00CE26CC">
          <w:pPr>
            <w:pStyle w:val="TOC2"/>
            <w:tabs>
              <w:tab w:val="right" w:leader="dot" w:pos="8630"/>
            </w:tabs>
            <w:spacing w:line="240" w:lineRule="auto"/>
            <w:rPr>
              <w:noProof/>
            </w:rPr>
          </w:pPr>
          <w:hyperlink w:anchor="_Toc232946712" w:history="1">
            <w:r>
              <w:rPr>
                <w:rStyle w:val="Hyperlink"/>
                <w:noProof/>
              </w:rPr>
              <w:t>6. The JT Scaling Factor — Learning Design Rationale</w:t>
            </w:r>
            <w:r>
              <w:rPr>
                <w:noProof/>
                <w:webHidden/>
              </w:rPr>
              <w:tab/>
              <w:fldChar w:fldCharType="begin"/>
              <w:instrText xml:space="preserve"> PAGEREF _Toc232946712 \h </w:instrText>
              <w:fldChar w:fldCharType="separate"/>
              <w:t>16</w:t>
              <w:fldChar w:fldCharType="end"/>
            </w:r>
          </w:hyperlink>
        </w:p>
        <w:p w14:paraId="6A85E7E9" w14:textId="750EC1DD" w:rsidR="00CE26CC" w:rsidRDefault="00CE26CC" w:rsidP="00CE26CC">
          <w:pPr>
            <w:pStyle w:val="TOC3"/>
            <w:tabs>
              <w:tab w:val="right" w:leader="dot" w:pos="8630"/>
            </w:tabs>
            <w:spacing w:line="240" w:lineRule="auto"/>
            <w:rPr>
              <w:noProof/>
            </w:rPr>
          </w:pPr>
          <w:hyperlink w:anchor="_Toc232946713" w:history="1">
            <w:r>
              <w:rPr>
                <w:rStyle w:val="Hyperlink"/>
                <w:noProof/>
              </w:rPr>
              <w:t>6.1 Formula</w:t>
            </w:r>
            <w:r>
              <w:rPr>
                <w:noProof/>
                <w:webHidden/>
              </w:rPr>
              <w:tab/>
              <w:fldChar w:fldCharType="begin"/>
              <w:instrText xml:space="preserve"> PAGEREF _Toc232946713 \h </w:instrText>
              <w:fldChar w:fldCharType="separate"/>
              <w:t>16</w:t>
              <w:fldChar w:fldCharType="end"/>
            </w:r>
          </w:hyperlink>
        </w:p>
        <w:p w14:paraId="2E1ECF08" w14:textId="20866F3A" w:rsidR="00CE26CC" w:rsidRDefault="00CE26CC" w:rsidP="00CE26CC">
          <w:pPr>
            <w:pStyle w:val="TOC3"/>
            <w:tabs>
              <w:tab w:val="right" w:leader="dot" w:pos="8630"/>
            </w:tabs>
            <w:spacing w:line="240" w:lineRule="auto"/>
            <w:rPr>
              <w:noProof/>
            </w:rPr>
          </w:pPr>
          <w:hyperlink w:anchor="_Toc232946714" w:history="1">
            <w:r>
              <w:rPr>
                <w:rStyle w:val="Hyperlink"/>
                <w:noProof/>
              </w:rPr>
              <w:t>6.2 Design Rationale — Against Last-Round Cramming</w:t>
            </w:r>
            <w:r>
              <w:rPr>
                <w:noProof/>
                <w:webHidden/>
              </w:rPr>
              <w:tab/>
              <w:fldChar w:fldCharType="begin"/>
              <w:instrText xml:space="preserve"> PAGEREF _Toc232946714 \h </w:instrText>
              <w:fldChar w:fldCharType="separate"/>
              <w:t>16</w:t>
              <w:fldChar w:fldCharType="end"/>
            </w:r>
          </w:hyperlink>
        </w:p>
        <w:p w14:paraId="6EF92345" w14:textId="3BB4CB36" w:rsidR="00CE26CC" w:rsidRDefault="00CE26CC" w:rsidP="00CE26CC">
          <w:pPr>
            <w:pStyle w:val="TOC3"/>
            <w:tabs>
              <w:tab w:val="right" w:leader="dot" w:pos="8630"/>
            </w:tabs>
            <w:spacing w:line="240" w:lineRule="auto"/>
            <w:rPr>
              <w:noProof/>
            </w:rPr>
          </w:pPr>
          <w:hyperlink w:anchor="_Toc232946715" w:history="1">
            <w:r>
              <w:rPr>
                <w:rStyle w:val="Hyperlink"/>
                <w:noProof/>
              </w:rPr>
              <w:t>6.3 Modelling Real-World HR Capital Theory</w:t>
            </w:r>
            <w:r>
              <w:rPr>
                <w:noProof/>
                <w:webHidden/>
              </w:rPr>
              <w:tab/>
              <w:fldChar w:fldCharType="begin"/>
              <w:instrText xml:space="preserve"> PAGEREF _Toc232946715 \h </w:instrText>
              <w:fldChar w:fldCharType="separate"/>
              <w:t>16</w:t>
              <w:fldChar w:fldCharType="end"/>
            </w:r>
          </w:hyperlink>
        </w:p>
        <w:p w14:paraId="66CB0533" w14:textId="5A3BCDBD" w:rsidR="00CE26CC" w:rsidRDefault="00CE26CC" w:rsidP="00CE26CC">
          <w:pPr>
            <w:pStyle w:val="TOC3"/>
            <w:tabs>
              <w:tab w:val="right" w:leader="dot" w:pos="8630"/>
            </w:tabs>
            <w:spacing w:line="240" w:lineRule="auto"/>
            <w:rPr>
              <w:noProof/>
            </w:rPr>
          </w:pPr>
          <w:hyperlink w:anchor="_Toc232946716" w:history="1">
            <w:r>
              <w:rPr>
                <w:rStyle w:val="Hyperlink"/>
                <w:noProof/>
              </w:rPr>
              <w:t>6.4 Facilitator Communication</w:t>
            </w:r>
            <w:r>
              <w:rPr>
                <w:noProof/>
                <w:webHidden/>
              </w:rPr>
              <w:tab/>
              <w:fldChar w:fldCharType="begin"/>
              <w:instrText xml:space="preserve"> PAGEREF _Toc232946716 \h </w:instrText>
              <w:fldChar w:fldCharType="separate"/>
              <w:t>16</w:t>
              <w:fldChar w:fldCharType="end"/>
            </w:r>
          </w:hyperlink>
        </w:p>
        <w:p w14:paraId="15936E8A" w14:textId="0AF4EE21" w:rsidR="00CE26CC" w:rsidRDefault="00CE26CC" w:rsidP="00CE26CC">
          <w:pPr>
            <w:pStyle w:val="TOC2"/>
            <w:tabs>
              <w:tab w:val="right" w:leader="dot" w:pos="8630"/>
            </w:tabs>
            <w:spacing w:line="240" w:lineRule="auto"/>
            <w:rPr>
              <w:noProof/>
            </w:rPr>
          </w:pPr>
          <w:hyperlink w:anchor="_Toc232946717" w:history="1">
            <w:r>
              <w:rPr>
                <w:rStyle w:val="Hyperlink"/>
                <w:noProof/>
              </w:rPr>
              <w:t>7. Assessment Design</w:t>
            </w:r>
            <w:r>
              <w:rPr>
                <w:noProof/>
                <w:webHidden/>
              </w:rPr>
              <w:tab/>
              <w:fldChar w:fldCharType="begin"/>
              <w:instrText xml:space="preserve"> PAGEREF _Toc232946717 \h </w:instrText>
              <w:fldChar w:fldCharType="separate"/>
              <w:t>17</w:t>
              <w:fldChar w:fldCharType="end"/>
            </w:r>
          </w:hyperlink>
        </w:p>
        <w:p w14:paraId="54046505" w14:textId="0E555E0E" w:rsidR="00CE26CC" w:rsidRDefault="00CE26CC" w:rsidP="00CE26CC">
          <w:pPr>
            <w:pStyle w:val="TOC3"/>
            <w:tabs>
              <w:tab w:val="right" w:leader="dot" w:pos="8630"/>
            </w:tabs>
            <w:spacing w:line="240" w:lineRule="auto"/>
            <w:rPr>
              <w:noProof/>
            </w:rPr>
          </w:pPr>
          <w:hyperlink w:anchor="_Toc232946718" w:history="1">
            <w:r>
              <w:rPr>
                <w:rStyle w:val="Hyperlink"/>
                <w:noProof/>
              </w:rPr>
              <w:t>7.1 Terminal Valuation — The Financial Score</w:t>
            </w:r>
            <w:r>
              <w:rPr>
                <w:noProof/>
                <w:webHidden/>
              </w:rPr>
              <w:tab/>
              <w:fldChar w:fldCharType="begin"/>
              <w:instrText xml:space="preserve"> PAGEREF _Toc232946718 \h </w:instrText>
              <w:fldChar w:fldCharType="separate"/>
              <w:t>17</w:t>
              <w:fldChar w:fldCharType="end"/>
            </w:r>
          </w:hyperlink>
        </w:p>
        <w:p w14:paraId="47A45632" w14:textId="09D2E006" w:rsidR="00CE26CC" w:rsidRDefault="00CE26CC" w:rsidP="00CE26CC">
          <w:pPr>
            <w:pStyle w:val="TOC3"/>
            <w:tabs>
              <w:tab w:val="right" w:leader="dot" w:pos="8630"/>
            </w:tabs>
            <w:spacing w:line="240" w:lineRule="auto"/>
            <w:rPr>
              <w:noProof/>
            </w:rPr>
          </w:pPr>
          <w:hyperlink w:anchor="_Toc232946719" w:history="1">
            <w:r>
              <w:rPr>
                <w:rStyle w:val="Hyperlink"/>
                <w:noProof/>
              </w:rPr>
              <w:t>7.2 The Regenerative Multiple (M_R) — The ESG Quality Score</w:t>
            </w:r>
            <w:r>
              <w:rPr>
                <w:noProof/>
                <w:webHidden/>
              </w:rPr>
              <w:tab/>
              <w:fldChar w:fldCharType="begin"/>
              <w:instrText xml:space="preserve"> PAGEREF _Toc232946719 \h </w:instrText>
              <w:fldChar w:fldCharType="separate"/>
              <w:t>17</w:t>
              <w:fldChar w:fldCharType="end"/>
            </w:r>
          </w:hyperlink>
        </w:p>
        <w:p w14:paraId="068B8CCA" w14:textId="7B8A5F02" w:rsidR="00CE26CC" w:rsidRDefault="00CE26CC" w:rsidP="00CE26CC">
          <w:pPr>
            <w:pStyle w:val="TOC3"/>
            <w:tabs>
              <w:tab w:val="right" w:leader="dot" w:pos="8630"/>
            </w:tabs>
            <w:spacing w:line="240" w:lineRule="auto"/>
            <w:rPr>
              <w:noProof/>
            </w:rPr>
          </w:pPr>
          <w:hyperlink w:anchor="_Toc232946720" w:history="1">
            <w:r>
              <w:rPr>
                <w:rStyle w:val="Hyperlink"/>
                <w:noProof/>
              </w:rPr>
              <w:t>7.3 The CEO Interview — The Reflection Score</w:t>
            </w:r>
            <w:r>
              <w:rPr>
                <w:noProof/>
                <w:webHidden/>
              </w:rPr>
              <w:tab/>
              <w:fldChar w:fldCharType="begin"/>
              <w:instrText xml:space="preserve"> PAGEREF _Toc232946720 \h </w:instrText>
              <w:fldChar w:fldCharType="separate"/>
              <w:t>17</w:t>
              <w:fldChar w:fldCharType="end"/>
            </w:r>
          </w:hyperlink>
        </w:p>
        <w:p w14:paraId="32A4E5F1" w14:textId="6FF53C23" w:rsidR="00CE26CC" w:rsidRDefault="00CE26CC" w:rsidP="00CE26CC">
          <w:pPr>
            <w:pStyle w:val="TOC3"/>
            <w:tabs>
              <w:tab w:val="right" w:leader="dot" w:pos="8630"/>
            </w:tabs>
            <w:spacing w:line="240" w:lineRule="auto"/>
            <w:rPr>
              <w:noProof/>
            </w:rPr>
          </w:pPr>
          <w:hyperlink w:anchor="_Toc232946721" w:history="1">
            <w:r>
              <w:rPr>
                <w:rStyle w:val="Hyperlink"/>
                <w:noProof/>
              </w:rPr>
              <w:t>7.4 Corporate Archetype — Narrative Assessment Label</w:t>
            </w:r>
            <w:r>
              <w:rPr>
                <w:noProof/>
                <w:webHidden/>
              </w:rPr>
              <w:tab/>
              <w:fldChar w:fldCharType="begin"/>
              <w:instrText xml:space="preserve"> PAGEREF _Toc232946721 \h </w:instrText>
              <w:fldChar w:fldCharType="separate"/>
              <w:t>18</w:t>
              <w:fldChar w:fldCharType="end"/>
            </w:r>
          </w:hyperlink>
        </w:p>
        <w:p w14:paraId="7B16301B" w14:textId="5E5B5103" w:rsidR="00CE26CC" w:rsidRDefault="00CE26CC" w:rsidP="00CE26CC">
          <w:pPr>
            <w:pStyle w:val="TOC3"/>
            <w:tabs>
              <w:tab w:val="right" w:leader="dot" w:pos="8630"/>
            </w:tabs>
            <w:spacing w:line="240" w:lineRule="auto"/>
            <w:rPr>
              <w:noProof/>
            </w:rPr>
          </w:pPr>
          <w:hyperlink w:anchor="_Toc232946722" w:history="1">
            <w:r>
              <w:rPr>
                <w:rStyle w:val="Hyperlink"/>
                <w:noProof/>
              </w:rPr>
              <w:t>7.5 Cross-Pathway Normalisation</w:t>
            </w:r>
            <w:r>
              <w:rPr>
                <w:noProof/>
                <w:webHidden/>
              </w:rPr>
              <w:tab/>
              <w:fldChar w:fldCharType="begin"/>
              <w:instrText xml:space="preserve"> PAGEREF _Toc232946722 \h </w:instrText>
              <w:fldChar w:fldCharType="separate"/>
              <w:t>18</w:t>
              <w:fldChar w:fldCharType="end"/>
            </w:r>
          </w:hyperlink>
        </w:p>
        <w:p w14:paraId="1D4068AF" w14:textId="58DDC4D8" w:rsidR="00CE26CC" w:rsidRDefault="00CE26CC" w:rsidP="00CE26CC">
          <w:pPr>
            <w:pStyle w:val="TOC2"/>
            <w:tabs>
              <w:tab w:val="right" w:leader="dot" w:pos="8630"/>
            </w:tabs>
            <w:spacing w:line="240" w:lineRule="auto"/>
            <w:rPr>
              <w:noProof/>
            </w:rPr>
          </w:pPr>
          <w:hyperlink w:anchor="_Toc232946723" w:history="1">
            <w:r>
              <w:rPr>
                <w:rStyle w:val="Hyperlink"/>
                <w:noProof/>
              </w:rPr>
              <w:t>8. Difficulty Tier Design Rationale</w:t>
            </w:r>
            <w:r>
              <w:rPr>
                <w:noProof/>
                <w:webHidden/>
              </w:rPr>
              <w:tab/>
              <w:fldChar w:fldCharType="begin"/>
              <w:instrText xml:space="preserve"> PAGEREF _Toc232946723 \h </w:instrText>
              <w:fldChar w:fldCharType="separate"/>
              <w:t>18</w:t>
              <w:fldChar w:fldCharType="end"/>
            </w:r>
          </w:hyperlink>
        </w:p>
        <w:p w14:paraId="4AFCB234" w14:textId="712C7061" w:rsidR="00CE26CC" w:rsidRDefault="00CE26CC" w:rsidP="00CE26CC">
          <w:pPr>
            <w:pStyle w:val="TOC3"/>
            <w:tabs>
              <w:tab w:val="right" w:leader="dot" w:pos="8630"/>
            </w:tabs>
            <w:spacing w:line="240" w:lineRule="auto"/>
            <w:rPr>
              <w:noProof/>
            </w:rPr>
          </w:pPr>
          <w:hyperlink w:anchor="_Toc232946724" w:history="1">
            <w:r>
              <w:rPr>
                <w:rStyle w:val="Hyperlink"/>
                <w:noProof/>
              </w:rPr>
              <w:t>8.1 Standard (1.0x Difficulty)</w:t>
            </w:r>
            <w:r>
              <w:rPr>
                <w:noProof/>
                <w:webHidden/>
              </w:rPr>
              <w:tab/>
              <w:fldChar w:fldCharType="begin"/>
              <w:instrText xml:space="preserve"> PAGEREF _Toc232946724 \h </w:instrText>
              <w:fldChar w:fldCharType="separate"/>
              <w:t>18</w:t>
              <w:fldChar w:fldCharType="end"/>
            </w:r>
          </w:hyperlink>
        </w:p>
        <w:p w14:paraId="5B4D4A4F" w14:textId="43E902BB" w:rsidR="00CE26CC" w:rsidRDefault="00CE26CC" w:rsidP="00CE26CC">
          <w:pPr>
            <w:pStyle w:val="TOC3"/>
            <w:tabs>
              <w:tab w:val="right" w:leader="dot" w:pos="8630"/>
            </w:tabs>
            <w:spacing w:line="240" w:lineRule="auto"/>
            <w:rPr>
              <w:noProof/>
            </w:rPr>
          </w:pPr>
          <w:hyperlink w:anchor="_Toc232946725" w:history="1">
            <w:r>
              <w:rPr>
                <w:rStyle w:val="Hyperlink"/>
                <w:noProof/>
              </w:rPr>
              <w:t>8.2 Advanced (1.5x Black Swan, 1.3x ESG Impact)</w:t>
            </w:r>
            <w:r>
              <w:rPr>
                <w:noProof/>
                <w:webHidden/>
              </w:rPr>
              <w:tab/>
              <w:fldChar w:fldCharType="begin"/>
              <w:instrText xml:space="preserve"> PAGEREF _Toc232946725 \h </w:instrText>
              <w:fldChar w:fldCharType="separate"/>
              <w:t>18</w:t>
              <w:fldChar w:fldCharType="end"/>
            </w:r>
          </w:hyperlink>
        </w:p>
        <w:p w14:paraId="3F28953C" w14:textId="6008B86B" w:rsidR="00CE26CC" w:rsidRDefault="00CE26CC" w:rsidP="00CE26CC">
          <w:pPr>
            <w:pStyle w:val="TOC3"/>
            <w:tabs>
              <w:tab w:val="right" w:leader="dot" w:pos="8630"/>
            </w:tabs>
            <w:spacing w:line="240" w:lineRule="auto"/>
            <w:rPr>
              <w:noProof/>
            </w:rPr>
          </w:pPr>
          <w:hyperlink w:anchor="_Toc232946726" w:history="1">
            <w:r>
              <w:rPr>
                <w:rStyle w:val="Hyperlink"/>
                <w:noProof/>
              </w:rPr>
              <w:t>8.3 Expert (+ Regulatory Sandbox SE-7)</w:t>
            </w:r>
            <w:r>
              <w:rPr>
                <w:noProof/>
                <w:webHidden/>
              </w:rPr>
              <w:tab/>
              <w:fldChar w:fldCharType="begin"/>
              <w:instrText xml:space="preserve"> PAGEREF _Toc232946726 \h </w:instrText>
              <w:fldChar w:fldCharType="separate"/>
              <w:t>19</w:t>
              <w:fldChar w:fldCharType="end"/>
            </w:r>
          </w:hyperlink>
        </w:p>
        <w:p w14:paraId="12F20527" w14:textId="619CD357" w:rsidR="00CE26CC" w:rsidRDefault="00CE26CC" w:rsidP="00CE26CC">
          <w:pPr>
            <w:pStyle w:val="TOC2"/>
            <w:tabs>
              <w:tab w:val="right" w:leader="dot" w:pos="8630"/>
            </w:tabs>
            <w:spacing w:line="240" w:lineRule="auto"/>
            <w:rPr>
              <w:noProof/>
            </w:rPr>
          </w:pPr>
          <w:hyperlink w:anchor="_Toc232946727" w:history="1">
            <w:r>
              <w:rPr>
                <w:rStyle w:val="Hyperlink"/>
                <w:noProof/>
              </w:rPr>
              <w:t>9. Industry Vertical Design Rationale</w:t>
            </w:r>
            <w:r>
              <w:rPr>
                <w:noProof/>
                <w:webHidden/>
              </w:rPr>
              <w:tab/>
              <w:fldChar w:fldCharType="begin"/>
              <w:instrText xml:space="preserve"> PAGEREF _Toc232946727 \h </w:instrText>
              <w:fldChar w:fldCharType="separate"/>
              <w:t>19</w:t>
              <w:fldChar w:fldCharType="end"/>
            </w:r>
          </w:hyperlink>
        </w:p>
        <w:p w14:paraId="69BC6149" w14:textId="2883F685" w:rsidR="00CE26CC" w:rsidRDefault="00CE26CC" w:rsidP="00CE26CC">
          <w:pPr>
            <w:pStyle w:val="TOC3"/>
            <w:tabs>
              <w:tab w:val="right" w:leader="dot" w:pos="8630"/>
            </w:tabs>
            <w:spacing w:line="240" w:lineRule="auto"/>
            <w:rPr>
              <w:noProof/>
            </w:rPr>
          </w:pPr>
          <w:hyperlink w:anchor="_Toc232946728" w:history="1">
            <w:r>
              <w:rPr>
                <w:rStyle w:val="Hyperlink"/>
                <w:noProof/>
              </w:rPr>
              <w:t>9.1 Why Verticals Exist</w:t>
            </w:r>
            <w:r>
              <w:rPr>
                <w:noProof/>
                <w:webHidden/>
              </w:rPr>
              <w:tab/>
              <w:fldChar w:fldCharType="begin"/>
              <w:instrText xml:space="preserve"> PAGEREF _Toc232946728 \h </w:instrText>
              <w:fldChar w:fldCharType="separate"/>
              <w:t>19</w:t>
              <w:fldChar w:fldCharType="end"/>
            </w:r>
          </w:hyperlink>
        </w:p>
        <w:p w14:paraId="7AED2F97" w14:textId="19D17F1C" w:rsidR="00CE26CC" w:rsidRDefault="00CE26CC" w:rsidP="00CE26CC">
          <w:pPr>
            <w:pStyle w:val="TOC3"/>
            <w:tabs>
              <w:tab w:val="right" w:leader="dot" w:pos="8630"/>
            </w:tabs>
            <w:spacing w:line="240" w:lineRule="auto"/>
            <w:rPr>
              <w:noProof/>
            </w:rPr>
          </w:pPr>
          <w:hyperlink w:anchor="_Toc232946729" w:history="1">
            <w:r>
              <w:rPr>
                <w:rStyle w:val="Hyperlink"/>
                <w:noProof/>
              </w:rPr>
              <w:t>9.2 Oil &amp; Gas Vertical</w:t>
            </w:r>
            <w:r>
              <w:rPr>
                <w:noProof/>
                <w:webHidden/>
              </w:rPr>
              <w:tab/>
              <w:fldChar w:fldCharType="begin"/>
              <w:instrText xml:space="preserve"> PAGEREF _Toc232946729 \h </w:instrText>
              <w:fldChar w:fldCharType="separate"/>
              <w:t>19</w:t>
              <w:fldChar w:fldCharType="end"/>
            </w:r>
          </w:hyperlink>
        </w:p>
        <w:p w14:paraId="7847C0A5" w14:textId="27C808F7" w:rsidR="00CE26CC" w:rsidRDefault="00CE26CC" w:rsidP="00CE26CC">
          <w:pPr>
            <w:pStyle w:val="TOC3"/>
            <w:tabs>
              <w:tab w:val="right" w:leader="dot" w:pos="8630"/>
            </w:tabs>
            <w:spacing w:line="240" w:lineRule="auto"/>
            <w:rPr>
              <w:noProof/>
            </w:rPr>
          </w:pPr>
          <w:hyperlink w:anchor="_Toc232946730" w:history="1">
            <w:r>
              <w:rPr>
                <w:rStyle w:val="Hyperlink"/>
                <w:noProof/>
              </w:rPr>
              <w:t>9.3 Banking &amp; Financial Services Vertical</w:t>
            </w:r>
            <w:r>
              <w:rPr>
                <w:noProof/>
                <w:webHidden/>
              </w:rPr>
              <w:tab/>
              <w:fldChar w:fldCharType="begin"/>
              <w:instrText xml:space="preserve"> PAGEREF _Toc232946730 \h </w:instrText>
              <w:fldChar w:fldCharType="separate"/>
              <w:t>20</w:t>
              <w:fldChar w:fldCharType="end"/>
            </w:r>
          </w:hyperlink>
        </w:p>
        <w:p w14:paraId="73B65F77" w14:textId="40D9D3B1" w:rsidR="00CE26CC" w:rsidRDefault="00CE26CC" w:rsidP="00CE26CC">
          <w:pPr>
            <w:pStyle w:val="TOC3"/>
            <w:tabs>
              <w:tab w:val="right" w:leader="dot" w:pos="8630"/>
            </w:tabs>
            <w:spacing w:line="240" w:lineRule="auto"/>
            <w:rPr>
              <w:noProof/>
            </w:rPr>
          </w:pPr>
          <w:hyperlink w:anchor="_Toc232946731" w:history="1">
            <w:r>
              <w:rPr>
                <w:rStyle w:val="Hyperlink"/>
                <w:noProof/>
              </w:rPr>
              <w:t>9.4 Agriculture Vertical</w:t>
            </w:r>
            <w:r>
              <w:rPr>
                <w:noProof/>
                <w:webHidden/>
              </w:rPr>
              <w:tab/>
              <w:fldChar w:fldCharType="begin"/>
              <w:instrText xml:space="preserve"> PAGEREF _Toc232946731 \h </w:instrText>
              <w:fldChar w:fldCharType="separate"/>
              <w:t>20</w:t>
              <w:fldChar w:fldCharType="end"/>
            </w:r>
          </w:hyperlink>
        </w:p>
        <w:p w14:paraId="36795D3B" w14:textId="7884EC39" w:rsidR="00CE26CC" w:rsidRDefault="00CE26CC" w:rsidP="00CE26CC">
          <w:pPr>
            <w:pStyle w:val="TOC3"/>
            <w:tabs>
              <w:tab w:val="right" w:leader="dot" w:pos="8630"/>
            </w:tabs>
            <w:spacing w:line="240" w:lineRule="auto"/>
            <w:rPr>
              <w:noProof/>
            </w:rPr>
          </w:pPr>
          <w:hyperlink w:anchor="_Toc232946732" w:history="1">
            <w:r>
              <w:rPr>
                <w:rStyle w:val="Hyperlink"/>
                <w:noProof/>
              </w:rPr>
              <w:t>9.5 Healthcare Edition</w:t>
            </w:r>
            <w:r>
              <w:rPr>
                <w:noProof/>
                <w:webHidden/>
              </w:rPr>
              <w:tab/>
              <w:fldChar w:fldCharType="begin"/>
              <w:instrText xml:space="preserve"> PAGEREF _Toc232946732 \h </w:instrText>
              <w:fldChar w:fldCharType="separate"/>
              <w:t>20</w:t>
              <w:fldChar w:fldCharType="end"/>
            </w:r>
          </w:hyperlink>
        </w:p>
        <w:p w14:paraId="68FA63CB" w14:textId="7951FED2" w:rsidR="00CE26CC" w:rsidRDefault="00CE26CC" w:rsidP="00CE26CC">
          <w:pPr>
            <w:pStyle w:val="TOC2"/>
            <w:tabs>
              <w:tab w:val="right" w:leader="dot" w:pos="8630"/>
            </w:tabs>
            <w:spacing w:line="240" w:lineRule="auto"/>
            <w:rPr>
              <w:noProof/>
            </w:rPr>
          </w:pPr>
          <w:hyperlink w:anchor="_Toc232946733" w:history="1">
            <w:r>
              <w:rPr>
                <w:rStyle w:val="Hyperlink"/>
                <w:noProof/>
              </w:rPr>
              <w:t>10. The Greenwashing Engine — Design Intent</w:t>
            </w:r>
            <w:r>
              <w:rPr>
                <w:noProof/>
                <w:webHidden/>
              </w:rPr>
              <w:tab/>
              <w:fldChar w:fldCharType="begin"/>
              <w:instrText xml:space="preserve"> PAGEREF _Toc232946733 \h </w:instrText>
              <w:fldChar w:fldCharType="separate"/>
              <w:t>20</w:t>
              <w:fldChar w:fldCharType="end"/>
            </w:r>
          </w:hyperlink>
        </w:p>
        <w:p w14:paraId="68D347E6" w14:textId="60CF9001" w:rsidR="00CE26CC" w:rsidRDefault="00CE26CC" w:rsidP="00CE26CC">
          <w:pPr>
            <w:pStyle w:val="TOC3"/>
            <w:tabs>
              <w:tab w:val="right" w:leader="dot" w:pos="8630"/>
            </w:tabs>
            <w:spacing w:line="240" w:lineRule="auto"/>
            <w:rPr>
              <w:noProof/>
            </w:rPr>
          </w:pPr>
          <w:hyperlink w:anchor="_Toc232946734" w:history="1">
            <w:r>
              <w:rPr>
                <w:rStyle w:val="Hyperlink"/>
                <w:noProof/>
              </w:rPr>
              <w:t>10.1 Mechanism</w:t>
            </w:r>
            <w:r>
              <w:rPr>
                <w:noProof/>
                <w:webHidden/>
              </w:rPr>
              <w:tab/>
              <w:fldChar w:fldCharType="begin"/>
              <w:instrText xml:space="preserve"> PAGEREF _Toc232946734 \h </w:instrText>
              <w:fldChar w:fldCharType="separate"/>
              <w:t>20</w:t>
              <w:fldChar w:fldCharType="end"/>
            </w:r>
          </w:hyperlink>
        </w:p>
        <w:p w14:paraId="0C7A24A4" w14:textId="0DED42DE" w:rsidR="00CE26CC" w:rsidRDefault="00CE26CC" w:rsidP="00CE26CC">
          <w:pPr>
            <w:pStyle w:val="TOC3"/>
            <w:tabs>
              <w:tab w:val="right" w:leader="dot" w:pos="8630"/>
            </w:tabs>
            <w:spacing w:line="240" w:lineRule="auto"/>
            <w:rPr>
              <w:noProof/>
            </w:rPr>
          </w:pPr>
          <w:hyperlink w:anchor="_Toc232946735" w:history="1">
            <w:r>
              <w:rPr>
                <w:rStyle w:val="Hyperlink"/>
                <w:noProof/>
              </w:rPr>
              <w:t>10.2 The 15% Investment Threshold</w:t>
            </w:r>
            <w:r>
              <w:rPr>
                <w:noProof/>
                <w:webHidden/>
              </w:rPr>
              <w:tab/>
              <w:fldChar w:fldCharType="begin"/>
              <w:instrText xml:space="preserve"> PAGEREF _Toc232946735 \h </w:instrText>
              <w:fldChar w:fldCharType="separate"/>
              <w:t>21</w:t>
              <w:fldChar w:fldCharType="end"/>
            </w:r>
          </w:hyperlink>
        </w:p>
        <w:p w14:paraId="44DC5223" w14:textId="2432EBD3" w:rsidR="00CE26CC" w:rsidRDefault="00CE26CC" w:rsidP="00CE26CC">
          <w:pPr>
            <w:pStyle w:val="TOC3"/>
            <w:tabs>
              <w:tab w:val="right" w:leader="dot" w:pos="8630"/>
            </w:tabs>
            <w:spacing w:line="240" w:lineRule="auto"/>
            <w:rPr>
              <w:noProof/>
            </w:rPr>
          </w:pPr>
          <w:hyperlink w:anchor="_Toc232946736" w:history="1">
            <w:r>
              <w:rPr>
                <w:rStyle w:val="Hyperlink"/>
                <w:noProof/>
              </w:rPr>
              <w:t>10.3 The Minus 15 Reputation Penalty</w:t>
            </w:r>
            <w:r>
              <w:rPr>
                <w:noProof/>
                <w:webHidden/>
              </w:rPr>
              <w:tab/>
              <w:fldChar w:fldCharType="begin"/>
              <w:instrText xml:space="preserve"> PAGEREF _Toc232946736 \h </w:instrText>
              <w:fldChar w:fldCharType="separate"/>
              <w:t>21</w:t>
              <w:fldChar w:fldCharType="end"/>
            </w:r>
          </w:hyperlink>
        </w:p>
        <w:p w14:paraId="5347E926" w14:textId="6B1DFF20" w:rsidR="00CE26CC" w:rsidRDefault="00CE26CC" w:rsidP="00CE26CC">
          <w:pPr>
            <w:pStyle w:val="TOC3"/>
            <w:tabs>
              <w:tab w:val="right" w:leader="dot" w:pos="8630"/>
            </w:tabs>
            <w:spacing w:line="240" w:lineRule="auto"/>
            <w:rPr>
              <w:noProof/>
            </w:rPr>
          </w:pPr>
          <w:hyperlink w:anchor="_Toc232946737" w:history="1">
            <w:r>
              <w:rPr>
                <w:rStyle w:val="Hyperlink"/>
                <w:noProof/>
              </w:rPr>
              <w:t>10.4 Legitimacy Theory Connection</w:t>
            </w:r>
            <w:r>
              <w:rPr>
                <w:noProof/>
                <w:webHidden/>
              </w:rPr>
              <w:tab/>
              <w:fldChar w:fldCharType="begin"/>
              <w:instrText xml:space="preserve"> PAGEREF _Toc232946737 \h </w:instrText>
              <w:fldChar w:fldCharType="separate"/>
              <w:t>21</w:t>
              <w:fldChar w:fldCharType="end"/>
            </w:r>
          </w:hyperlink>
        </w:p>
        <w:p w14:paraId="08C827E1" w14:textId="14B276E8" w:rsidR="00CE26CC" w:rsidRDefault="00CE26CC" w:rsidP="00CE26CC">
          <w:pPr>
            <w:pStyle w:val="TOC2"/>
            <w:tabs>
              <w:tab w:val="right" w:leader="dot" w:pos="8630"/>
            </w:tabs>
            <w:spacing w:line="240" w:lineRule="auto"/>
            <w:rPr>
              <w:noProof/>
            </w:rPr>
          </w:pPr>
          <w:hyperlink w:anchor="_Toc232946738" w:history="1">
            <w:r>
              <w:rPr>
                <w:rStyle w:val="Hyperlink"/>
                <w:noProof/>
              </w:rPr>
              <w:t>11. Side Track Design Philosophy</w:t>
            </w:r>
            <w:r>
              <w:rPr>
                <w:noProof/>
                <w:webHidden/>
              </w:rPr>
              <w:tab/>
              <w:fldChar w:fldCharType="begin"/>
              <w:instrText xml:space="preserve"> PAGEREF _Toc232946738 \h </w:instrText>
              <w:fldChar w:fldCharType="separate"/>
              <w:t>21</w:t>
              <w:fldChar w:fldCharType="end"/>
            </w:r>
          </w:hyperlink>
        </w:p>
        <w:p w14:paraId="01AEAAC0" w14:textId="150C2599" w:rsidR="00CE26CC" w:rsidRDefault="00CE26CC" w:rsidP="00CE26CC">
          <w:pPr>
            <w:pStyle w:val="TOC3"/>
            <w:tabs>
              <w:tab w:val="right" w:leader="dot" w:pos="8630"/>
            </w:tabs>
            <w:spacing w:line="240" w:lineRule="auto"/>
            <w:rPr>
              <w:noProof/>
            </w:rPr>
          </w:pPr>
          <w:hyperlink w:anchor="_Toc232946739" w:history="1">
            <w:r>
              <w:rPr>
                <w:rStyle w:val="Hyperlink"/>
                <w:noProof/>
              </w:rPr>
              <w:t>11.1 Design Purpose</w:t>
            </w:r>
            <w:r>
              <w:rPr>
                <w:noProof/>
                <w:webHidden/>
              </w:rPr>
              <w:tab/>
              <w:fldChar w:fldCharType="begin"/>
              <w:instrText xml:space="preserve"> PAGEREF _Toc232946739 \h </w:instrText>
              <w:fldChar w:fldCharType="separate"/>
              <w:t>21</w:t>
              <w:fldChar w:fldCharType="end"/>
            </w:r>
          </w:hyperlink>
        </w:p>
        <w:p w14:paraId="24D92A38" w14:textId="5878E9DD" w:rsidR="00CE26CC" w:rsidRDefault="00CE26CC" w:rsidP="00CE26CC">
          <w:pPr>
            <w:pStyle w:val="TOC3"/>
            <w:tabs>
              <w:tab w:val="right" w:leader="dot" w:pos="8630"/>
            </w:tabs>
            <w:spacing w:line="240" w:lineRule="auto"/>
            <w:rPr>
              <w:noProof/>
            </w:rPr>
          </w:pPr>
          <w:hyperlink w:anchor="_Toc232946740" w:history="1">
            <w:r>
              <w:rPr>
                <w:rStyle w:val="Hyperlink"/>
                <w:noProof/>
              </w:rPr>
              <w:t>11.2 SDG Deep Track — M_SDG Multiplier</w:t>
            </w:r>
            <w:r>
              <w:rPr>
                <w:noProof/>
                <w:webHidden/>
              </w:rPr>
              <w:tab/>
              <w:fldChar w:fldCharType="begin"/>
              <w:instrText xml:space="preserve"> PAGEREF _Toc232946740 \h </w:instrText>
              <w:fldChar w:fldCharType="separate"/>
              <w:t>21</w:t>
              <w:fldChar w:fldCharType="end"/>
            </w:r>
          </w:hyperlink>
        </w:p>
        <w:p w14:paraId="3A356F1A" w14:textId="60E196C7" w:rsidR="00CE26CC" w:rsidRDefault="00CE26CC" w:rsidP="00CE26CC">
          <w:pPr>
            <w:pStyle w:val="TOC3"/>
            <w:tabs>
              <w:tab w:val="right" w:leader="dot" w:pos="8630"/>
            </w:tabs>
            <w:spacing w:line="240" w:lineRule="auto"/>
            <w:rPr>
              <w:noProof/>
            </w:rPr>
          </w:pPr>
          <w:hyperlink w:anchor="_Toc232946741" w:history="1">
            <w:r>
              <w:rPr>
                <w:rStyle w:val="Hyperlink"/>
                <w:noProof/>
              </w:rPr>
              <w:t>11.3 BRSR NGRBC Side Track — Indian Corporate Context</w:t>
            </w:r>
            <w:r>
              <w:rPr>
                <w:noProof/>
                <w:webHidden/>
              </w:rPr>
              <w:tab/>
              <w:fldChar w:fldCharType="begin"/>
              <w:instrText xml:space="preserve"> PAGEREF _Toc232946741 \h </w:instrText>
              <w:fldChar w:fldCharType="separate"/>
              <w:t>22</w:t>
              <w:fldChar w:fldCharType="end"/>
            </w:r>
          </w:hyperlink>
        </w:p>
        <w:p w14:paraId="2EF4113D" w14:textId="5686E58E" w:rsidR="00CE26CC" w:rsidRDefault="00CE26CC" w:rsidP="00CE26CC">
          <w:pPr>
            <w:pStyle w:val="TOC2"/>
            <w:tabs>
              <w:tab w:val="right" w:leader="dot" w:pos="8630"/>
            </w:tabs>
            <w:spacing w:line="240" w:lineRule="auto"/>
            <w:rPr>
              <w:noProof/>
            </w:rPr>
          </w:pPr>
          <w:hyperlink w:anchor="_Toc232946742" w:history="1">
            <w:r>
              <w:rPr>
                <w:rStyle w:val="Hyperlink"/>
                <w:noProof/>
              </w:rPr>
              <w:t>12. Academic Theory Map</w:t>
            </w:r>
            <w:r>
              <w:rPr>
                <w:noProof/>
                <w:webHidden/>
              </w:rPr>
              <w:tab/>
              <w:fldChar w:fldCharType="begin"/>
              <w:instrText xml:space="preserve"> PAGEREF _Toc232946742 \h </w:instrText>
              <w:fldChar w:fldCharType="separate"/>
              <w:t>22</w:t>
              <w:fldChar w:fldCharType="end"/>
            </w:r>
          </w:hyperlink>
        </w:p>
        <w:p w14:paraId="64460E00" w14:textId="6CF04866" w:rsidR="00CE26CC" w:rsidRDefault="00CE26CC" w:rsidP="00CE26CC">
          <w:pPr>
            <w:pStyle w:val="TOC2"/>
            <w:tabs>
              <w:tab w:val="right" w:leader="dot" w:pos="8630"/>
            </w:tabs>
            <w:spacing w:line="240" w:lineRule="auto"/>
            <w:rPr>
              <w:noProof/>
            </w:rPr>
          </w:pPr>
          <w:hyperlink w:anchor="_Toc232946743" w:history="1">
            <w:r>
              <w:rPr>
                <w:rStyle w:val="Hyperlink"/>
                <w:noProof/>
              </w:rPr>
              <w:t>13. Facilitation Notes — Common Failure Modes</w:t>
            </w:r>
            <w:r>
              <w:rPr>
                <w:noProof/>
                <w:webHidden/>
              </w:rPr>
              <w:tab/>
              <w:fldChar w:fldCharType="begin"/>
              <w:instrText xml:space="preserve"> PAGEREF _Toc232946743 \h </w:instrText>
              <w:fldChar w:fldCharType="separate"/>
              <w:t>23</w:t>
              <w:fldChar w:fldCharType="end"/>
            </w:r>
          </w:hyperlink>
        </w:p>
        <w:p w14:paraId="6E9402B8" w14:textId="4D42FFE1" w:rsidR="00CE26CC" w:rsidRDefault="00CE26CC" w:rsidP="00CE26CC">
          <w:pPr>
            <w:pStyle w:val="TOC3"/>
            <w:tabs>
              <w:tab w:val="right" w:leader="dot" w:pos="8630"/>
            </w:tabs>
            <w:spacing w:line="240" w:lineRule="auto"/>
            <w:rPr>
              <w:noProof/>
            </w:rPr>
          </w:pPr>
          <w:hyperlink w:anchor="_Toc232946744" w:history="1">
            <w:r>
              <w:rPr>
                <w:rStyle w:val="Hyperlink"/>
                <w:noProof/>
              </w:rPr>
              <w:t>13.1 Teams That Play to Win, Not to Learn</w:t>
            </w:r>
            <w:r>
              <w:rPr>
                <w:noProof/>
                <w:webHidden/>
              </w:rPr>
              <w:tab/>
              <w:fldChar w:fldCharType="begin"/>
              <w:instrText xml:space="preserve"> PAGEREF _Toc232946744 \h </w:instrText>
              <w:fldChar w:fldCharType="separate"/>
              <w:t>23</w:t>
              <w:fldChar w:fldCharType="end"/>
            </w:r>
          </w:hyperlink>
        </w:p>
        <w:p w14:paraId="3F393C30" w14:textId="4454503E" w:rsidR="00CE26CC" w:rsidRDefault="00CE26CC" w:rsidP="00CE26CC">
          <w:pPr>
            <w:pStyle w:val="TOC3"/>
            <w:tabs>
              <w:tab w:val="right" w:leader="dot" w:pos="8630"/>
            </w:tabs>
            <w:spacing w:line="240" w:lineRule="auto"/>
            <w:rPr>
              <w:noProof/>
            </w:rPr>
          </w:pPr>
          <w:hyperlink w:anchor="_Toc232946745" w:history="1">
            <w:r>
              <w:rPr>
                <w:rStyle w:val="Hyperlink"/>
                <w:noProof/>
              </w:rPr>
              <w:t>13.2 Teams That Select All Greenwashing Options</w:t>
            </w:r>
            <w:r>
              <w:rPr>
                <w:noProof/>
                <w:webHidden/>
              </w:rPr>
              <w:tab/>
              <w:fldChar w:fldCharType="begin"/>
              <w:instrText xml:space="preserve"> PAGEREF _Toc232946745 \h </w:instrText>
              <w:fldChar w:fldCharType="separate"/>
              <w:t>24</w:t>
              <w:fldChar w:fldCharType="end"/>
            </w:r>
          </w:hyperlink>
        </w:p>
        <w:p w14:paraId="11C6D448" w14:textId="4E95DE6B" w:rsidR="00CE26CC" w:rsidRDefault="00CE26CC" w:rsidP="00CE26CC">
          <w:pPr>
            <w:pStyle w:val="TOC3"/>
            <w:tabs>
              <w:tab w:val="right" w:leader="dot" w:pos="8630"/>
            </w:tabs>
            <w:spacing w:line="240" w:lineRule="auto"/>
            <w:rPr>
              <w:noProof/>
            </w:rPr>
          </w:pPr>
          <w:hyperlink w:anchor="_Toc232946746" w:history="1">
            <w:r>
              <w:rPr>
                <w:rStyle w:val="Hyperlink"/>
                <w:noProof/>
              </w:rPr>
              <w:t>13.3 The Last-Round Sprint Failure Mode</w:t>
            </w:r>
            <w:r>
              <w:rPr>
                <w:noProof/>
                <w:webHidden/>
              </w:rPr>
              <w:tab/>
              <w:fldChar w:fldCharType="begin"/>
              <w:instrText xml:space="preserve"> PAGEREF _Toc232946746 \h </w:instrText>
              <w:fldChar w:fldCharType="separate"/>
              <w:t>24</w:t>
              <w:fldChar w:fldCharType="end"/>
            </w:r>
          </w:hyperlink>
        </w:p>
        <w:p w14:paraId="13CA95A4" w14:textId="372B5227" w:rsidR="00CE26CC" w:rsidRDefault="00CE26CC" w:rsidP="00CE26CC">
          <w:pPr>
            <w:pStyle w:val="TOC3"/>
            <w:tabs>
              <w:tab w:val="right" w:leader="dot" w:pos="8630"/>
            </w:tabs>
            <w:spacing w:line="240" w:lineRule="auto"/>
            <w:rPr>
              <w:noProof/>
            </w:rPr>
          </w:pPr>
          <w:hyperlink w:anchor="_Toc232946747" w:history="1">
            <w:r>
              <w:rPr>
                <w:rStyle w:val="Hyperlink"/>
                <w:noProof/>
              </w:rPr>
              <w:t>13.4 Overconfident Advanced Cohorts</w:t>
            </w:r>
            <w:r>
              <w:rPr>
                <w:noProof/>
                <w:webHidden/>
              </w:rPr>
              <w:tab/>
              <w:fldChar w:fldCharType="begin"/>
              <w:instrText xml:space="preserve"> PAGEREF _Toc232946747 \h </w:instrText>
              <w:fldChar w:fldCharType="separate"/>
              <w:t>24</w:t>
              <w:fldChar w:fldCharType="end"/>
            </w:r>
          </w:hyperlink>
        </w:p>
        <w:p w14:paraId="5DDB72FE" w14:textId="33359A5D" w:rsidR="00CE26CC" w:rsidRDefault="00CE26CC" w:rsidP="00CE26CC">
          <w:pPr>
            <w:pStyle w:val="TOC2"/>
            <w:tabs>
              <w:tab w:val="right" w:leader="dot" w:pos="8630"/>
            </w:tabs>
            <w:spacing w:line="240" w:lineRule="auto"/>
            <w:rPr>
              <w:noProof/>
            </w:rPr>
          </w:pPr>
          <w:hyperlink w:anchor="_Toc232946748" w:history="1">
            <w:r>
              <w:rPr>
                <w:rStyle w:val="Hyperlink"/>
                <w:noProof/>
              </w:rPr>
              <w:t>14. Design Decisions Log — Frequently Asked Questions</w:t>
            </w:r>
            <w:r>
              <w:rPr>
                <w:noProof/>
                <w:webHidden/>
              </w:rPr>
              <w:tab/>
              <w:fldChar w:fldCharType="begin"/>
              <w:instrText xml:space="preserve"> PAGEREF _Toc232946748 \h </w:instrText>
              <w:fldChar w:fldCharType="separate"/>
              <w:t>24</w:t>
              <w:fldChar w:fldCharType="end"/>
            </w:r>
          </w:hyperlink>
        </w:p>
        <w:p w14:paraId="46D75FE0" w14:textId="199510C9" w:rsidR="00CE26CC" w:rsidRDefault="00CE26CC" w:rsidP="00CE26CC">
          <w:pPr>
            <w:pStyle w:val="TOC2"/>
            <w:tabs>
              <w:tab w:val="right" w:leader="dot" w:pos="8630"/>
            </w:tabs>
            <w:spacing w:line="240" w:lineRule="auto"/>
            <w:rPr>
              <w:noProof/>
            </w:rPr>
          </w:pPr>
          <w:hyperlink w:anchor="role-model-access-control-rbac" w:history="1">
            <w:r>
              <w:rPr>
                <w:rStyle w:val="Hyperlink"/>
                <w:noProof/>
              </w:rPr>
              <w:t>15. Role Model &amp; Access Control (RBAC)</w:t>
            </w:r>
            <w:r>
              <w:rPr>
                <w:noProof/>
                <w:webHidden/>
              </w:rPr>
              <w:tab/>
              <w:fldChar w:fldCharType="begin"/>
              <w:instrText xml:space="preserve"> PAGEREF _Toc232946749 \h </w:instrText>
              <w:fldChar w:fldCharType="separate"/>
              <w:t>25</w:t>
              <w:fldChar w:fldCharType="end"/>
            </w:r>
          </w:hyperlink>
        </w:p>
        <w:p w14:paraId="46D75FE0" w14:textId="199510C9" w:rsidR="00CE26CC" w:rsidRDefault="00CE26CC" w:rsidP="00CE26CC">
          <w:pPr>
            <w:pStyle w:val="TOC2"/>
            <w:tabs>
              <w:tab w:val="right" w:leader="dot" w:pos="8630"/>
            </w:tabs>
            <w:spacing w:line="240" w:lineRule="auto"/>
            <w:rPr>
              <w:noProof/>
            </w:rPr>
          </w:pPr>
          <w:hyperlink w:anchor="_Toc232946749" w:history="1">
            <w:r>
              <w:rPr>
                <w:rStyle w:val="Hyperlink"/>
                <w:noProof/>
              </w:rPr>
              <w:t>16. References</w:t>
            </w:r>
            <w:r>
              <w:rPr>
                <w:noProof/>
                <w:webHidden/>
              </w:rPr>
              <w:tab/>
              <w:fldChar w:fldCharType="begin"/>
              <w:instrText xml:space="preserve"> PAGEREF _Toc232946749 \h </w:instrText>
              <w:fldChar w:fldCharType="separate"/>
              <w:t>25</w:t>
              <w:fldChar w:fldCharType="end"/>
            </w:r>
          </w:hyperlink>
        </w:p>
        <w:p w14:paraId="418FADAB" w14:textId="4F85F9E7" w:rsidR="003743EC" w:rsidRDefault="00000000" w:rsidP="00CE26CC">
          <w:pPr>
            <w:spacing w:line="240" w:lineRule="auto"/>
          </w:pPr>
          <w:r>
            <w:lastRenderedPageBreak/>
            <w:fldChar w:fldCharType="end"/>
          </w:r>
        </w:p>
      </w:sdtContent>
    </w:sdt>
    <w:p w14:paraId="40064686" w14:textId="77777777" w:rsidR="003743EC" w:rsidRDefault="00000000">
      <w:pPr>
        <w:pStyle w:val="Heading1"/>
      </w:pPr>
      <w:bookmarkStart w:id="0" w:name="X8091a948d76b83faec87030b501438d33448575"/>
      <w:bookmarkStart w:id="1" w:name="_Toc232946682"/>
      <w:r>
        <w:t xml:space="preserve">Muressons Simulation — Simulation Design Document (SDD)</w:t>
      </w:r>
      <w:bookmarkEnd w:id="1"/>
    </w:p>
    <w:p w14:paraId="4BCC4E82" w14:textId="77777777" w:rsidR="003743EC" w:rsidRDefault="00000000">
      <w:r>
        <w:rPr>
          <w:b/>
          <w:bCs/>
        </w:rPr>
        <w:t>Version: 1.2</w:t>
        <w:br/>
        <w:t>Classification: Internal — Curriculum Design &amp; Facilitation Reference</w:t>
        <w:br/>
        <w:t>Audience: Curriculum Designers, Pedagogical Researchers, New Facilitators</w:t>
        <w:br/>
        <w:t>Last Updated: 2026-06-20</w:t>
      </w:r>
      <w:r/>
      <w:r>
        <w:rPr>
          <w:b/>
          <w:bCs/>
        </w:rPr>
      </w:r>
      <w:r/>
      <w:r>
        <w:rPr>
          <w:b/>
          <w:bCs/>
        </w:rPr>
      </w:r>
      <w:r/>
      <w:r>
        <w:rPr>
          <w:b/>
          <w:bCs/>
        </w:rPr>
      </w:r>
      <w:r/>
    </w:p>
    <w:p w14:paraId="77ECA42B" w14:textId="77777777" w:rsidR="003743EC" w:rsidRDefault="00000000">
      <w:r>
        <w:pict w14:anchorId="1766F4DD">
          <v:rect id="_x0000_i1213" style="width:0;height:1.5pt" o:hralign="center" o:hrstd="t" o:hr="t"/>
        </w:pict>
      </w:r>
    </w:p>
    <w:p w14:paraId="4C6308BF" w14:textId="77777777" w:rsidR="003743EC" w:rsidRDefault="00000000">
      <w:pPr>
        <w:pStyle w:val="Heading2"/>
      </w:pPr>
      <w:bookmarkStart w:id="2" w:name="table-of-contents"/>
      <w:bookmarkStart w:id="3" w:name="_Toc232946683"/>
      <w:r>
        <w:t>Table of Contents</w:t>
      </w:r>
      <w:bookmarkEnd w:id="3"/>
    </w:p>
    <w:p w14:paraId="0E535C6F" w14:textId="77777777" w:rsidR="003743EC" w:rsidRDefault="003743EC">
      <w:pPr>
        <w:numPr>
          <w:ilvl w:val="0"/>
          <w:numId w:val="11"/>
        </w:numPr>
      </w:pPr>
      <w:hyperlink w:anchor="X37019ca1a5a8ccae640738b479e56cf033a4826">
        <w:r>
          <w:t>Introduction &amp; Purpose of This Document</w:t>
        </w:r>
      </w:hyperlink>
    </w:p>
    <w:p w14:paraId="2F0DC805" w14:textId="77777777" w:rsidR="003743EC" w:rsidRDefault="003743EC">
      <w:pPr>
        <w:numPr>
          <w:ilvl w:val="0"/>
          <w:numId w:val="11"/>
        </w:numPr>
      </w:pPr>
      <w:hyperlink w:anchor="X4e08724bbc1b69cb73f97b656b3d22aeda946fc">
        <w:r>
          <w:t>Design Philosophy</w:t>
        </w:r>
      </w:hyperlink>
    </w:p>
    <w:p w14:paraId="3EBF3C69" w14:textId="77777777" w:rsidR="003743EC" w:rsidRDefault="003743EC">
      <w:pPr>
        <w:numPr>
          <w:ilvl w:val="0"/>
          <w:numId w:val="11"/>
        </w:numPr>
      </w:pPr>
      <w:hyperlink w:anchor="Xfcebb69daea107c87a19275cfd747324d3169e0">
        <w:r>
          <w:t>Learning Objectives by Round</w:t>
        </w:r>
      </w:hyperlink>
    </w:p>
    <w:p w14:paraId="497D64C1" w14:textId="77777777" w:rsidR="003743EC" w:rsidRDefault="003743EC">
      <w:pPr>
        <w:numPr>
          <w:ilvl w:val="0"/>
          <w:numId w:val="11"/>
        </w:numPr>
      </w:pPr>
      <w:hyperlink w:anchor="Xcb26bea24e5e0186949bc1761469aa476bc74f3">
        <w:r>
          <w:t>The Pedagogical Engine</w:t>
        </w:r>
      </w:hyperlink>
    </w:p>
    <w:p w14:paraId="6A8F2D6E" w14:textId="77777777" w:rsidR="003743EC" w:rsidRDefault="003743EC">
      <w:pPr>
        <w:numPr>
          <w:ilvl w:val="0"/>
          <w:numId w:val="11"/>
        </w:numPr>
      </w:pPr>
      <w:hyperlink w:anchor="Xd76b67ae7b8b229d9725294f6a987f2804fb8c4">
        <w:r>
          <w:t>The Flag System as a Learning Design Tool</w:t>
        </w:r>
      </w:hyperlink>
    </w:p>
    <w:p w14:paraId="11CED5B1" w14:textId="77777777" w:rsidR="003743EC" w:rsidRDefault="003743EC">
      <w:pPr>
        <w:numPr>
          <w:ilvl w:val="0"/>
          <w:numId w:val="11"/>
        </w:numPr>
      </w:pPr>
      <w:hyperlink w:anchor="Xfef0667975872e8c8117b627e9b92aae2c38243">
        <w:r>
          <w:t>The JT Scaling Factor — Learning Design Rationale</w:t>
        </w:r>
      </w:hyperlink>
    </w:p>
    <w:p w14:paraId="46E89D06" w14:textId="77777777" w:rsidR="003743EC" w:rsidRDefault="003743EC">
      <w:pPr>
        <w:numPr>
          <w:ilvl w:val="0"/>
          <w:numId w:val="11"/>
        </w:numPr>
      </w:pPr>
      <w:hyperlink w:anchor="X0a96b6041f65cca0513285085ffbd6b86704466">
        <w:r>
          <w:t>Assessment Design</w:t>
        </w:r>
      </w:hyperlink>
    </w:p>
    <w:p w14:paraId="64DCD215" w14:textId="77777777" w:rsidR="003743EC" w:rsidRDefault="003743EC">
      <w:pPr>
        <w:numPr>
          <w:ilvl w:val="0"/>
          <w:numId w:val="11"/>
        </w:numPr>
      </w:pPr>
      <w:hyperlink w:anchor="X8b03c6f46d9db095b03f1007fda2f6a06d9d8ac">
        <w:r>
          <w:t>Difficulty Tier Design Rationale</w:t>
        </w:r>
      </w:hyperlink>
    </w:p>
    <w:p w14:paraId="067466D8" w14:textId="77777777" w:rsidR="003743EC" w:rsidRDefault="003743EC">
      <w:pPr>
        <w:numPr>
          <w:ilvl w:val="0"/>
          <w:numId w:val="11"/>
        </w:numPr>
      </w:pPr>
      <w:hyperlink w:anchor="X41d45c6cdd8bd2521082be727d7ca762001cc57">
        <w:r>
          <w:t>Industry Vertical Design Rationale</w:t>
        </w:r>
      </w:hyperlink>
    </w:p>
    <w:p w14:paraId="3A9A1F92" w14:textId="77777777" w:rsidR="003743EC" w:rsidRDefault="003743EC">
      <w:pPr>
        <w:numPr>
          <w:ilvl w:val="0"/>
          <w:numId w:val="11"/>
        </w:numPr>
      </w:pPr>
      <w:hyperlink w:anchor="X23cb064ba55420b1808d9f6476c9bf2cf184f7c">
        <w:r>
          <w:t>The Greenwashing Engine — Design Intent</w:t>
        </w:r>
      </w:hyperlink>
    </w:p>
    <w:p w14:paraId="45B9F93C" w14:textId="77777777" w:rsidR="003743EC" w:rsidRDefault="003743EC">
      <w:pPr>
        <w:numPr>
          <w:ilvl w:val="0"/>
          <w:numId w:val="11"/>
        </w:numPr>
      </w:pPr>
      <w:hyperlink w:anchor="Xa37536766ff312d2cfc222e9a7da125fd06cd31">
        <w:r>
          <w:t xml:space="preserve">Side Track Design Philosophy</w:t>
        </w:r>
      </w:hyperlink>
    </w:p>
    <w:p w14:paraId="0A9B3A6F" w14:textId="77777777" w:rsidR="003743EC" w:rsidRDefault="003743EC">
      <w:pPr>
        <w:numPr>
          <w:ilvl w:val="0"/>
          <w:numId w:val="11"/>
        </w:numPr>
      </w:pPr>
      <w:hyperlink w:anchor="X3083fb41bc77c4b59bba04df0a73e2c1af5e8d6">
        <w:r>
          <w:t>Academic Theory Map</w:t>
        </w:r>
      </w:hyperlink>
    </w:p>
    <w:p w14:paraId="001D5A51" w14:textId="77777777" w:rsidR="003743EC" w:rsidRDefault="003743EC">
      <w:pPr>
        <w:numPr>
          <w:ilvl w:val="0"/>
          <w:numId w:val="11"/>
        </w:numPr>
      </w:pPr>
      <w:hyperlink w:anchor="Xad7193c1945cb4e02b62474e4c72e86fd7f9af8">
        <w:r>
          <w:t>Facilitation Notes — Common Failure Modes</w:t>
        </w:r>
      </w:hyperlink>
    </w:p>
    <w:p w14:paraId="011E8C6D" w14:textId="77777777" w:rsidR="003743EC" w:rsidRDefault="003743EC">
      <w:pPr>
        <w:numPr>
          <w:ilvl w:val="0"/>
          <w:numId w:val="11"/>
        </w:numPr>
      </w:pPr>
      <w:hyperlink w:anchor="X32749c841567749655d61ad3ee4d01dab7d1e22">
        <w:r>
          <w:t>Design Decisions Log — Frequently Asked Questions</w:t>
        </w:r>
      </w:hyperlink>
    </w:p>
    <w:p w14:paraId="0BFDF184" w14:textId="77777777" w:rsidR="003743EC" w:rsidRDefault="003743EC">
      <w:pPr>
        <w:numPr>
          <w:ilvl w:val="0"/>
          <w:numId w:val="11"/>
        </w:numPr>
      </w:pPr>
      <w:hyperlink w:anchor="Xcb8f34702d1980450cb726f50d1fbc110147fb8">
        <w:r>
          <w:t>References</w:t>
        </w:r>
      </w:hyperlink>
    </w:p>
    <w:p w14:paraId="5CCF6C09" w14:textId="77777777" w:rsidR="00CE26CC" w:rsidRDefault="00CE26CC">
      <w:pPr>
        <w:pStyle w:val="Heading2"/>
        <w:sectPr w:rsidR="00CE26CC" w:rsidSect="005A7B8D">
          <w:footerReference w:type="default" r:id="rId8"/>
          <w:footerReference w:type="first" r:id="rId13"/>
          <w:footerReference w:type="even" r:id="rId14"/>
          <w:pgSz w:w="12240" w:h="15840"/>
          <w:pgMar w:top="993" w:right="1800" w:bottom="1440" w:left="1800" w:header="720" w:footer="720" w:gutter="0"/>
          <w:cols w:space="720"/>
          <w:docGrid w:linePitch="360"/>
        </w:sectPr>
      </w:pPr>
      <w:bookmarkStart w:id="4" w:name="introduction-purpose-of-this-document"/>
      <w:bookmarkStart w:id="5" w:name="_Toc232946684"/>
      <w:bookmarkEnd w:id="2"/>
    </w:p>
    <w:p w14:paraId="7E498254" w14:textId="77777777" w:rsidR="003743EC" w:rsidRDefault="00000000">
      <w:pPr>
        <w:pStyle w:val="Heading2"/>
      </w:pPr>
      <w:r>
        <w:lastRenderedPageBreak/>
        <w:t>1. Introduction &amp; Purpose of This Document</w:t>
      </w:r>
      <w:bookmarkEnd w:id="5"/>
    </w:p>
    <w:p w14:paraId="6519D3F0" w14:textId="77777777" w:rsidR="003743EC" w:rsidRDefault="00000000">
      <w:r>
        <w:t>The Muressons Simulation is a multi-round, decision-based ESG leadership simulation designed for use in business school curricula, executive education programmes, and corporate learning environments. It places participants in the role of a senior leadership team responsible for steering a diversified group corporation across ten simulated years, each characterised by escalating ESG pressures, market events, and strategic inflection points.</w:t>
      </w:r>
    </w:p>
    <w:p w14:paraId="2AE48F1B" w14:textId="77777777" w:rsidR="003743EC" w:rsidRDefault="00000000">
      <w:pPr>
        <w:pStyle w:val="BodyText"/>
      </w:pPr>
      <w:r>
        <w:t xml:space="preserve">This Simulation Design Document (SDD) explains the </w:t>
      </w:r>
      <w:r>
        <w:rPr>
          <w:b/>
          <w:bCs/>
        </w:rPr>
        <w:t>pedagogical intent</w:t>
      </w:r>
      <w:r>
        <w:t xml:space="preserve"> behind every structural, mechanical, and content design decision in the simulation. It is not a user guide or a technical manual — those documents exist separately. Instead, this document answers the question that every thoughtful curriculum designer, facilitator, and researcher should ask when encountering any element of the simulation: </w:t>
      </w:r>
      <w:r>
        <w:rPr>
          <w:b/>
          <w:bCs/>
        </w:rPr>
        <w:t>Why was this designed this way?</w:t>
      </w:r>
    </w:p>
    <w:p w14:paraId="1D52CE63" w14:textId="77777777" w:rsidR="003743EC" w:rsidRDefault="00000000">
      <w:pPr>
        <w:pStyle w:val="BodyText"/>
      </w:pPr>
      <w:r>
        <w:t xml:space="preserve">Understanding the </w:t>
      </w:r>
      <w:r>
        <w:rPr>
          <w:i/>
          <w:iCs/>
        </w:rPr>
        <w:t>why</w:t>
      </w:r>
      <w:r>
        <w:t xml:space="preserve"> is essential for:</w:t>
      </w:r>
    </w:p>
    <w:p w14:paraId="0CC45BB3" w14:textId="77777777" w:rsidR="003743EC" w:rsidRDefault="00000000">
      <w:pPr>
        <w:numPr>
          <w:ilvl w:val="0"/>
          <w:numId w:val="12"/>
        </w:numPr>
      </w:pPr>
      <w:r>
        <w:rPr>
          <w:b/>
          <w:bCs/>
        </w:rPr>
        <w:t>Facilitators</w:t>
      </w:r>
      <w:r>
        <w:t>, who must be able to debrief outcomes in a way that connects player experience to academic theory rather than treating results as merely narrative entertainment.</w:t>
      </w:r>
    </w:p>
    <w:p w14:paraId="63FE8A30" w14:textId="77777777" w:rsidR="003743EC" w:rsidRDefault="00000000">
      <w:pPr>
        <w:numPr>
          <w:ilvl w:val="0"/>
          <w:numId w:val="12"/>
        </w:numPr>
      </w:pPr>
      <w:r>
        <w:rPr>
          <w:b/>
          <w:bCs/>
        </w:rPr>
        <w:t>Curriculum designers</w:t>
      </w:r>
      <w:r>
        <w:t>, who need to know precisely which learning objectives each mechanic is serving before they can assess whether those objectives are being met.</w:t>
      </w:r>
    </w:p>
    <w:p w14:paraId="37083B10" w14:textId="77777777" w:rsidR="003743EC" w:rsidRDefault="00000000">
      <w:pPr>
        <w:numPr>
          <w:ilvl w:val="0"/>
          <w:numId w:val="12"/>
        </w:numPr>
      </w:pPr>
      <w:r>
        <w:rPr>
          <w:b/>
          <w:bCs/>
        </w:rPr>
        <w:t>Pedagogical researchers</w:t>
      </w:r>
      <w:r>
        <w:t xml:space="preserve">, who require a clear statement of the theoretical underpinnings in order to evaluate or build upon the simulation’s design.</w:t>
      </w:r>
    </w:p>
    <w:p w14:paraId="51CEB6AB" w14:textId="77777777" w:rsidR="003743EC" w:rsidRDefault="00000000">
      <w:pPr>
        <w:numPr>
          <w:ilvl w:val="0"/>
          <w:numId w:val="12"/>
        </w:numPr>
      </w:pPr>
      <w:r>
        <w:rPr>
          <w:b/>
          <w:bCs/>
        </w:rPr>
        <w:t>Institutional adaptation teams</w:t>
      </w:r>
      <w:r>
        <w:t>, who must understand design intent before making modifications for specific industry verticals, regional regulatory contexts, or assessment frameworks.</w:t>
      </w:r>
    </w:p>
    <w:p w14:paraId="0242A082" w14:textId="77777777" w:rsidR="003743EC" w:rsidRDefault="00000000">
      <w:r>
        <w:t>Throughout this document, specific academic citations are provided not as decorative credentials but because each cited work directly influenced a design decision. Where a mechanic was designed to operationalise a theoretical construct, that construct is named. Where empirical evidence was used to calibrate a parameter, that evidence is cited.</w:t>
      </w:r>
    </w:p>
    <w:p w14:paraId="51143B4C" w14:textId="1C70843E" w:rsidR="003743EC" w:rsidRDefault="003743EC"/>
    <w:p w14:paraId="238DF260" w14:textId="77777777" w:rsidR="00CE26CC" w:rsidRDefault="00CE26CC">
      <w:pPr>
        <w:pStyle w:val="Heading2"/>
        <w:sectPr w:rsidR="00CE26CC" w:rsidSect="005A7B8D">
          <w:pgSz w:w="12240" w:h="15840"/>
          <w:pgMar w:top="993" w:right="1800" w:bottom="1440" w:left="1800" w:header="720" w:footer="720" w:gutter="0"/>
          <w:cols w:space="720"/>
          <w:docGrid w:linePitch="360"/>
        </w:sectPr>
      </w:pPr>
      <w:bookmarkStart w:id="6" w:name="design-philosophy"/>
      <w:bookmarkStart w:id="7" w:name="_Toc232946685"/>
      <w:bookmarkEnd w:id="4"/>
    </w:p>
    <w:p w14:paraId="1033A290" w14:textId="77777777" w:rsidR="003743EC" w:rsidRDefault="00000000">
      <w:pPr>
        <w:pStyle w:val="Heading2"/>
      </w:pPr>
      <w:r>
        <w:lastRenderedPageBreak/>
        <w:t>2. Design Philosophy</w:t>
      </w:r>
      <w:bookmarkEnd w:id="7"/>
    </w:p>
    <w:p w14:paraId="27F03186" w14:textId="77777777" w:rsidR="003743EC" w:rsidRDefault="00000000">
      <w:pPr>
        <w:pStyle w:val="Heading3"/>
      </w:pPr>
      <w:bookmarkStart w:id="8" w:name="the-experiential-learning-foundation"/>
      <w:bookmarkStart w:id="9" w:name="_Toc232946686"/>
      <w:r>
        <w:t>2.1 The Experiential Learning Foundation</w:t>
      </w:r>
      <w:bookmarkEnd w:id="9"/>
    </w:p>
    <w:p w14:paraId="44A8B8E5" w14:textId="77777777" w:rsidR="003743EC" w:rsidRDefault="00000000">
      <w:r>
        <w:t xml:space="preserve">The simulation is built on </w:t>
      </w:r>
      <w:r>
        <w:rPr>
          <w:b/>
          <w:bCs/>
        </w:rPr>
        <w:t>Kolb’s Experiential Learning Cycle</w:t>
      </w:r>
      <w:r>
        <w:t xml:space="preserve"> (1984) as its foundational pedagogical architecture. Kolb’s model describes learning as a four-stage iterative cycle:</w:t>
      </w:r>
    </w:p>
    <w:p w14:paraId="17CA1384" w14:textId="77777777" w:rsidR="003743EC" w:rsidRDefault="00000000">
      <w:pPr>
        <w:numPr>
          <w:ilvl w:val="0"/>
          <w:numId w:val="13"/>
        </w:numPr>
      </w:pPr>
      <w:r>
        <w:rPr>
          <w:b/>
          <w:bCs/>
        </w:rPr>
        <w:t>Concrete Experience</w:t>
      </w:r>
      <w:r>
        <w:t xml:space="preserve"> — the learner engages in an activity or experience</w:t>
      </w:r>
    </w:p>
    <w:p w14:paraId="3E5B7F20" w14:textId="77777777" w:rsidR="003743EC" w:rsidRDefault="00000000">
      <w:pPr>
        <w:numPr>
          <w:ilvl w:val="0"/>
          <w:numId w:val="13"/>
        </w:numPr>
      </w:pPr>
      <w:r>
        <w:rPr>
          <w:b/>
          <w:bCs/>
        </w:rPr>
        <w:t>Reflective Observation</w:t>
      </w:r>
      <w:r>
        <w:t xml:space="preserve"> — the learner observes and reflects on what happened</w:t>
      </w:r>
    </w:p>
    <w:p w14:paraId="5728D61A" w14:textId="77777777" w:rsidR="003743EC" w:rsidRDefault="00000000">
      <w:pPr>
        <w:numPr>
          <w:ilvl w:val="0"/>
          <w:numId w:val="13"/>
        </w:numPr>
      </w:pPr>
      <w:r>
        <w:rPr>
          <w:b/>
          <w:bCs/>
        </w:rPr>
        <w:t>Abstract Conceptualisation</w:t>
      </w:r>
      <w:r>
        <w:t xml:space="preserve"> — the learner forms general theories or conclusions</w:t>
      </w:r>
    </w:p>
    <w:p w14:paraId="54AA775D" w14:textId="77777777" w:rsidR="003743EC" w:rsidRDefault="00000000">
      <w:pPr>
        <w:numPr>
          <w:ilvl w:val="0"/>
          <w:numId w:val="13"/>
        </w:numPr>
      </w:pPr>
      <w:r>
        <w:rPr>
          <w:b/>
          <w:bCs/>
        </w:rPr>
        <w:t>Active Experimentation</w:t>
      </w:r>
      <w:r>
        <w:t xml:space="preserve"> — the learner tests those conclusions in new situations</w:t>
      </w:r>
    </w:p>
    <w:p w14:paraId="2AB21569" w14:textId="77777777" w:rsidR="003743EC" w:rsidRDefault="00000000">
      <w:r>
        <w:t>The simulation is explicitly designed so that each round completes a full rotation of this cycle: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85"/>
        <w:gridCol w:w="5771"/>
      </w:tblGrid>
      <w:tr w:rsidR="003743EC" w14:paraId="71EA8024" w14:textId="77777777" w:rsidTr="00456AF3">
        <w:trPr>
          <w:tblHeader/>
        </w:trPr>
        <w:tc>
          <w:tcPr>
            <w:tcW w:w="3085" w:type="dxa"/>
          </w:tcPr>
          <w:p w14:paraId="0CEC22D5" w14:textId="77777777" w:rsidR="003743EC" w:rsidRDefault="00000000">
            <w:r>
              <w:t>Kolb Stage</w:t>
            </w:r>
          </w:p>
        </w:tc>
        <w:tc>
          <w:tcPr>
            <w:tcW w:w="5771" w:type="dxa"/>
          </w:tcPr>
          <w:p w14:paraId="5A00F602" w14:textId="77777777" w:rsidR="003743EC" w:rsidRDefault="00000000">
            <w:r>
              <w:t>Simulation Mechanism</w:t>
            </w:r>
          </w:p>
        </w:tc>
      </w:tr>
      <w:tr w:rsidR="003743EC" w14:paraId="14427E58" w14:textId="77777777" w:rsidTr="00456AF3">
        <w:tc>
          <w:tcPr>
            <w:tcW w:w="3085" w:type="dxa"/>
          </w:tcPr>
          <w:p w14:paraId="4C42E7FA" w14:textId="77777777" w:rsidR="003743EC" w:rsidRDefault="00000000">
            <w:r>
              <w:t>Concrete Experience</w:t>
            </w:r>
          </w:p>
        </w:tc>
        <w:tc>
          <w:tcPr>
            <w:tcW w:w="5771" w:type="dxa"/>
          </w:tcPr>
          <w:p w14:paraId="3DCA483F" w14:textId="77777777" w:rsidR="003743EC" w:rsidRDefault="00000000">
            <w:r>
              <w:t>The crisis scenario, A/B/C decision, and pillar decisions</w:t>
            </w:r>
          </w:p>
        </w:tc>
      </w:tr>
      <w:tr w:rsidR="003743EC" w14:paraId="6B9D58A9" w14:textId="77777777" w:rsidTr="00456AF3">
        <w:tc>
          <w:tcPr>
            <w:tcW w:w="3085" w:type="dxa"/>
          </w:tcPr>
          <w:p w14:paraId="55F5A732" w14:textId="77777777" w:rsidR="003743EC" w:rsidRDefault="00000000">
            <w:r>
              <w:t>Reflective Observation</w:t>
            </w:r>
          </w:p>
        </w:tc>
        <w:tc>
          <w:tcPr>
            <w:tcW w:w="5771" w:type="dxa"/>
          </w:tcPr>
          <w:p w14:paraId="4C1C0FF7" w14:textId="77777777" w:rsidR="003743EC" w:rsidRDefault="00000000">
            <w:r>
              <w:t>The Journal Question and Board Room Moment (if triggered)</w:t>
            </w:r>
          </w:p>
        </w:tc>
      </w:tr>
      <w:tr w:rsidR="003743EC" w14:paraId="7BBF7417" w14:textId="77777777" w:rsidTr="00456AF3">
        <w:tc>
          <w:tcPr>
            <w:tcW w:w="3085" w:type="dxa"/>
          </w:tcPr>
          <w:p w14:paraId="0E5F34BF" w14:textId="77777777" w:rsidR="003743EC" w:rsidRDefault="00000000">
            <w:r>
              <w:t>Abstract Conceptualisation</w:t>
            </w:r>
          </w:p>
        </w:tc>
        <w:tc>
          <w:tcPr>
            <w:tcW w:w="5771" w:type="dxa"/>
          </w:tcPr>
          <w:p w14:paraId="757745D8" w14:textId="77777777" w:rsidR="003743EC" w:rsidRDefault="00000000">
            <w:r>
              <w:t>The AI Podcast briefing (Priya + Prof. Walker) and CEO Diary commentary</w:t>
            </w:r>
          </w:p>
        </w:tc>
      </w:tr>
      <w:tr w:rsidR="003743EC" w14:paraId="0A12F9A7" w14:textId="77777777" w:rsidTr="00456AF3">
        <w:tc>
          <w:tcPr>
            <w:tcW w:w="3085" w:type="dxa"/>
          </w:tcPr>
          <w:p w14:paraId="7AD583AC" w14:textId="77777777" w:rsidR="003743EC" w:rsidRDefault="00000000">
            <w:r>
              <w:t>Active Experimentation</w:t>
            </w:r>
          </w:p>
        </w:tc>
        <w:tc>
          <w:tcPr>
            <w:tcW w:w="5771" w:type="dxa"/>
          </w:tcPr>
          <w:p w14:paraId="6C295E49" w14:textId="77777777" w:rsidR="003743EC" w:rsidRDefault="00000000">
            <w:r>
              <w:t>The next round’s decision, informed by the previous round’s consequences</w:t>
            </w:r>
          </w:p>
        </w:tc>
      </w:tr>
    </w:tbl>
    <w:p w14:paraId="15003B23" w14:textId="77777777" w:rsidR="003743EC" w:rsidRDefault="00000000">
      <w:pPr>
        <w:pStyle w:val="BodyText"/>
      </w:pPr>
      <w:r>
        <w:t xml:space="preserve">This architecture means the simulation is not a game with a learning wrapper bolted on. It is a structured cycle in which </w:t>
      </w:r>
      <w:r>
        <w:rPr>
          <w:b/>
          <w:bCs/>
        </w:rPr>
        <w:t xml:space="preserve">the experience and the learning are the same event</w:t>
      </w:r>
      <w:r>
        <w:t>. Every consequence is designed to be legible — traceable back to a specific decision — so that the reflective and conceptualisation stages are substantive rather than vague.</w:t>
      </w:r>
    </w:p>
    <w:p w14:paraId="44E95B6C" w14:textId="77777777" w:rsidR="003743EC" w:rsidRDefault="00000000">
      <w:pPr>
        <w:pStyle w:val="Heading3"/>
      </w:pPr>
      <w:bookmarkStart w:id="10" w:name="X2161e2374cef3595ae42d3409de07eaf542db28"/>
      <w:bookmarkStart w:id="11" w:name="_Toc232946687"/>
      <w:bookmarkEnd w:id="8"/>
      <w:r>
        <w:t>2.2 Bloom’s Taxonomy — Targeting Higher-Order Cognition</w:t>
      </w:r>
      <w:bookmarkEnd w:id="11"/>
    </w:p>
    <w:p w14:paraId="4765106E" w14:textId="77777777" w:rsidR="003743EC" w:rsidRDefault="00000000">
      <w:r>
        <w:t xml:space="preserve">The simulation is designed to operate at </w:t>
      </w:r>
      <w:r>
        <w:rPr>
          <w:b/>
          <w:bCs/>
        </w:rPr>
        <w:t>Bloom’s Level 4 (Analysis)</w:t>
      </w:r>
      <w:r>
        <w:t xml:space="preserve"> through </w:t>
      </w:r>
      <w:r>
        <w:rPr>
          <w:b/>
          <w:bCs/>
        </w:rPr>
        <w:t>Level 5 (Evaluation)</w:t>
      </w:r>
      <w:r>
        <w:t xml:space="preserve">, with certain mechanics pushing toward </w:t>
      </w:r>
      <w:r>
        <w:rPr>
          <w:b/>
          <w:bCs/>
        </w:rPr>
        <w:t>Level 6 (Creation)</w:t>
      </w:r>
      <w:r>
        <w:t xml:space="preserve"> in expert tier. This is a deliberate departure from most corporate e-learning simulations, which tend to operate at Levels 1–3 (Remember, Understand, Apply).</w:t>
      </w:r>
    </w:p>
    <w:p w14:paraId="0B342FC5" w14:textId="77777777" w:rsidR="003743EC" w:rsidRDefault="00000000">
      <w:pPr>
        <w:pStyle w:val="BodyText"/>
      </w:pPr>
      <w:r>
        <w:t xml:space="preserve">The reasoning is pragmatic: executives and MBA-level participants have already, by definition, acquired foundational knowledge of business concepts. What they lack — and what traditional instruction often fails to develop — is the ability to </w:t>
      </w:r>
      <w:r>
        <w:rPr>
          <w:i/>
          <w:iCs/>
        </w:rPr>
        <w:t>analyse</w:t>
      </w:r>
      <w:r>
        <w:t xml:space="preserve"> complex trade-offs under uncertainty, </w:t>
      </w:r>
      <w:r>
        <w:rPr>
          <w:i/>
          <w:iCs/>
        </w:rPr>
        <w:t>evaluate</w:t>
      </w:r>
      <w:r>
        <w:t xml:space="preserve"> strategies against competing stakeholder demands, and </w:t>
      </w:r>
      <w:r>
        <w:rPr>
          <w:i/>
          <w:iCs/>
        </w:rPr>
        <w:t>create</w:t>
      </w:r>
      <w:r>
        <w:t xml:space="preserve"> integrated governance responses to novel situations. The simulation’s design forces participants to operate at precisely these levels.</w:t>
      </w:r>
    </w:p>
    <w:p w14:paraId="6C1949F1" w14:textId="77777777" w:rsidR="003743EC" w:rsidRDefault="00000000">
      <w:pPr>
        <w:pStyle w:val="BodyText"/>
      </w:pPr>
      <w:r>
        <w:t>Specific mechanisms that enforce higher-order cognition:</w:t>
      </w:r>
    </w:p>
    <w:p w14:paraId="2136974B" w14:textId="77777777" w:rsidR="003743EC" w:rsidRDefault="00000000">
      <w:pPr>
        <w:numPr>
          <w:ilvl w:val="0"/>
          <w:numId w:val="14"/>
        </w:numPr>
      </w:pPr>
      <w:r>
        <w:rPr>
          <w:b/>
          <w:bCs/>
        </w:rPr>
        <w:t>The three-option crisis structure:</w:t>
      </w:r>
      <w:r>
        <w:t xml:space="preserve"> No option is strictly dominant. Each has financial, reputational, and cross-round consequences that require analysis before selection.</w:t>
      </w:r>
    </w:p>
    <w:p w14:paraId="4656CBB9" w14:textId="77777777" w:rsidR="003743EC" w:rsidRDefault="00000000">
      <w:pPr>
        <w:numPr>
          <w:ilvl w:val="0"/>
          <w:numId w:val="14"/>
        </w:numPr>
      </w:pPr>
      <w:r>
        <w:rPr>
          <w:b/>
          <w:bCs/>
        </w:rPr>
        <w:t>The Fog of War mechanic (R1–R3):</w:t>
      </w:r>
      <w:r>
        <w:t xml:space="preserve"> Incomplete information forces players to make inferences and probability judgements rather than simply optimising a known function.</w:t>
      </w:r>
    </w:p>
    <w:p w14:paraId="0AD249E2" w14:textId="77777777" w:rsidR="003743EC" w:rsidRDefault="00000000">
      <w:pPr>
        <w:numPr>
          <w:ilvl w:val="0"/>
          <w:numId w:val="14"/>
        </w:numPr>
      </w:pPr>
      <w:r>
        <w:rPr>
          <w:b/>
          <w:bCs/>
        </w:rPr>
        <w:lastRenderedPageBreak/>
        <w:t>The materiality matrix (R2):</w:t>
      </w:r>
      <w:r>
        <w:t xml:space="preserve"> Requires participants to classify and evaluate ESG topics across two axes simultaneously — a genuinely analytical task that cannot be completed through memorisation alone.</w:t>
      </w:r>
    </w:p>
    <w:p w14:paraId="40691621" w14:textId="77777777" w:rsidR="003743EC" w:rsidRDefault="00000000">
      <w:pPr>
        <w:numPr>
          <w:ilvl w:val="0"/>
          <w:numId w:val="14"/>
        </w:numPr>
      </w:pPr>
      <w:r>
        <w:rPr>
          <w:b/>
          <w:bCs/>
        </w:rPr>
        <w:t>The cross-round flag system:</w:t>
      </w:r>
      <w:r>
        <w:t xml:space="preserve"> Long-horizon consequences reward participants who think systemically rather than myopically.</w:t>
      </w:r>
    </w:p>
    <w:p w14:paraId="1A82BE37" w14:textId="77777777" w:rsidR="003743EC" w:rsidRDefault="00000000">
      <w:pPr>
        <w:pStyle w:val="Heading3"/>
      </w:pPr>
      <w:bookmarkStart w:id="12" w:name="Xa42966af6c48f55507c16c5b910eebe946ed041"/>
      <w:bookmarkStart w:id="13" w:name="_Toc232946688"/>
      <w:bookmarkEnd w:id="10"/>
      <w:r>
        <w:t>2.3 The Fog of War — Simulating Real Governance Uncertainty</w:t>
      </w:r>
      <w:bookmarkEnd w:id="13"/>
    </w:p>
    <w:p w14:paraId="24C80FBC" w14:textId="77777777" w:rsidR="003743EC" w:rsidRDefault="00000000">
      <w:r>
        <w:t xml:space="preserve">One of the most persistent criticisms of business simulations is that they present decision-makers with more information than real executives actually have. A CEO deciding whether to commission a Scope 3 audit does not know the precise financial consequence in advance — they must estimate it based on partial data, stakeholder signals, and competitive intelligence.</w:t>
      </w:r>
    </w:p>
    <w:p w14:paraId="2A106B47" w14:textId="77777777" w:rsidR="003743EC" w:rsidRDefault="00000000">
      <w:pPr>
        <w:pStyle w:val="BodyText"/>
      </w:pPr>
      <w:r>
        <w:t xml:space="preserve">The </w:t>
      </w:r>
      <w:r>
        <w:rPr>
          <w:b/>
          <w:bCs/>
        </w:rPr>
        <w:t>Fog of War</w:t>
      </w:r>
      <w:r>
        <w:t xml:space="preserve"> mechanic (active Rounds 1–3) operationalises this by deliberately withholding key performance indicators, hiding certain flag consequences from the player, and presenting stakeholder signals that are qualitative rather than quantitative. This is grounded in </w:t>
      </w:r>
      <w:r>
        <w:rPr>
          <w:b/>
          <w:bCs/>
        </w:rPr>
        <w:t xml:space="preserve">Simon’s (1955) bounded rationality</w:t>
      </w:r>
      <w:r>
        <w:t xml:space="preserve"> framework: agents do not maximise against full information; they </w:t>
      </w:r>
      <w:r>
        <w:rPr>
          <w:i/>
          <w:iCs/>
        </w:rPr>
        <w:t>satisfice</w:t>
      </w:r>
      <w:r>
        <w:t xml:space="preserve"> against the information available to them.</w:t>
      </w:r>
    </w:p>
    <w:p w14:paraId="52F03D50" w14:textId="77777777" w:rsidR="003743EC" w:rsidRDefault="00000000">
      <w:pPr>
        <w:pStyle w:val="BodyText"/>
      </w:pPr>
      <w:r>
        <w:t xml:space="preserve">The pedagogical intent is to make participants feel the </w:t>
      </w:r>
      <w:r>
        <w:rPr>
          <w:i/>
          <w:iCs/>
        </w:rPr>
        <w:t>cost</w:t>
      </w:r>
      <w:r>
        <w:t xml:space="preserve"> of information asymmetry — a cost that is invisible in case studies but viscerally present in the simulation when a decision made in R1 under fog creates a material liability that becomes visible in R4.</w:t>
      </w:r>
    </w:p>
    <w:p w14:paraId="656CFA94" w14:textId="77777777" w:rsidR="003743EC" w:rsidRDefault="00000000">
      <w:pPr>
        <w:pStyle w:val="Heading3"/>
      </w:pPr>
      <w:bookmarkStart w:id="14" w:name="the-double-loop-learning-device"/>
      <w:bookmarkStart w:id="15" w:name="_Toc232946689"/>
      <w:bookmarkEnd w:id="12"/>
      <w:r>
        <w:t>2.4 The Double-Loop Learning Device</w:t>
      </w:r>
      <w:bookmarkEnd w:id="15"/>
    </w:p>
    <w:p w14:paraId="20D5FBC6" w14:textId="77777777" w:rsidR="003743EC" w:rsidRDefault="00000000">
      <w:r>
        <w:t xml:space="preserve">The simulation’s primary deep-learning mechanism is the </w:t>
      </w:r>
      <w:r>
        <w:rPr>
          <w:b/>
          <w:bCs/>
        </w:rPr>
        <w:t>R1 to R4 cascade</w:t>
      </w:r>
      <w:r>
        <w:t xml:space="preserve">, operationalised through the </w:t>
      </w:r>
      <w:r>
        <w:rPr>
          <w:rStyle w:val="VerbatimChar"/>
        </w:rPr>
        <w:t>electronics_blindspot</w:t>
      </w:r>
      <w:r>
        <w:t xml:space="preserve"> flag. This is designed as a textbook demonstration of </w:t>
      </w:r>
      <w:r>
        <w:rPr>
          <w:b/>
          <w:bCs/>
        </w:rPr>
        <w:t>Argyris’s (1977) Double-Loop Learning</w:t>
      </w:r>
      <w:r>
        <w:t xml:space="preserve"> concept.</w:t>
      </w:r>
    </w:p>
    <w:p w14:paraId="4C28A602" w14:textId="77777777" w:rsidR="003743EC" w:rsidRDefault="00000000">
      <w:pPr>
        <w:pStyle w:val="BodyText"/>
      </w:pPr>
      <w:r>
        <w:rPr>
          <w:b/>
          <w:bCs/>
        </w:rPr>
        <w:t>Single-loop learning</w:t>
      </w:r>
      <w:r>
        <w:t xml:space="preserve"> occurs when an agent detects and corrects an error </w:t>
      </w:r>
      <w:r>
        <w:rPr>
          <w:i/>
          <w:iCs/>
        </w:rPr>
        <w:t>within</w:t>
      </w:r>
      <w:r>
        <w:t xml:space="preserve"> the existing set of assumptions and norms — they change their action, but not their underlying mental model. </w:t>
      </w:r>
      <w:r>
        <w:rPr>
          <w:b/>
          <w:bCs/>
        </w:rPr>
        <w:t>Double-loop learning</w:t>
      </w:r>
      <w:r>
        <w:t xml:space="preserve"> occurs when the agent questions and revises the governing norms and assumptions themselves.</w:t>
      </w:r>
    </w:p>
    <w:p w14:paraId="4E7574B7" w14:textId="77777777" w:rsidR="003743EC" w:rsidRDefault="00000000">
      <w:pPr>
        <w:pStyle w:val="BodyText"/>
      </w:pPr>
      <w:r>
        <w:t>In the simulation:</w:t>
      </w:r>
    </w:p>
    <w:p w14:paraId="0B0B7018" w14:textId="77777777" w:rsidR="003743EC" w:rsidRDefault="00000000">
      <w:pPr>
        <w:numPr>
          <w:ilvl w:val="0"/>
          <w:numId w:val="15"/>
        </w:numPr>
      </w:pPr>
      <w:r>
        <w:rPr>
          <w:b/>
          <w:bCs/>
        </w:rPr>
        <w:t>Single-loop response</w:t>
      </w:r>
      <w:r>
        <w:t xml:space="preserve"> to R1’s stakeholder mapping crisis: “We should have picked a different option.”</w:t>
      </w:r>
    </w:p>
    <w:p w14:paraId="50D7F381" w14:textId="77777777" w:rsidR="003743EC" w:rsidRDefault="00000000">
      <w:pPr>
        <w:numPr>
          <w:ilvl w:val="0"/>
          <w:numId w:val="15"/>
        </w:numPr>
      </w:pPr>
      <w:r>
        <w:rPr>
          <w:b/>
          <w:bCs/>
        </w:rPr>
        <w:t>Double-loop response:</w:t>
      </w:r>
      <w:r>
        <w:t xml:space="preserve"> “Our due diligence framework was inadequate because we assumed we had complete visibility of our supply chain. The electronics supply chain complexity should have been a signal. We need to rebuild our mental model of what ‘adequate due diligence’ means.”</w:t>
      </w:r>
    </w:p>
    <w:p w14:paraId="07A56AD7" w14:textId="77777777" w:rsidR="003743EC" w:rsidRDefault="00000000">
      <w:r>
        <w:t xml:space="preserve">The 3-round delay between the R1 decision and its R4 consequence is specifically designed to force this double-loop moment. If the consequence appeared immediately in R2, players would interpret it as a simple cause-effect correction (single-loop). The delay — and the fact that the consequence arrives at a moment when players may have forgotten their R1 decision — forces them to trace back through their decision history and reconstruct their reasoning. This tracing </w:t>
      </w:r>
      <w:r>
        <w:rPr>
          <w:i/>
          <w:iCs/>
        </w:rPr>
        <w:t>is</w:t>
      </w:r>
      <w:r>
        <w:t xml:space="preserve"> the double-loop learning experience.</w:t>
      </w:r>
    </w:p>
    <w:p w14:paraId="70007ED0" w14:textId="17981B07" w:rsidR="003743EC" w:rsidRDefault="003743EC"/>
    <w:p w14:paraId="4151A054" w14:textId="77777777" w:rsidR="00CE26CC" w:rsidRDefault="00CE26CC">
      <w:pPr>
        <w:pStyle w:val="Heading2"/>
        <w:sectPr w:rsidR="00CE26CC" w:rsidSect="005A7B8D">
          <w:pgSz w:w="12240" w:h="15840"/>
          <w:pgMar w:top="993" w:right="1800" w:bottom="1440" w:left="1800" w:header="720" w:footer="720" w:gutter="0"/>
          <w:cols w:space="720"/>
          <w:docGrid w:linePitch="360"/>
        </w:sectPr>
      </w:pPr>
      <w:bookmarkStart w:id="16" w:name="learning-objectives-by-round"/>
      <w:bookmarkStart w:id="17" w:name="_Toc232946690"/>
      <w:bookmarkEnd w:id="6"/>
      <w:bookmarkEnd w:id="14"/>
    </w:p>
    <w:p w14:paraId="5E0DE10E" w14:textId="77777777" w:rsidR="003743EC" w:rsidRDefault="00000000">
      <w:pPr>
        <w:pStyle w:val="Heading2"/>
      </w:pPr>
      <w:r>
        <w:lastRenderedPageBreak/>
        <w:t>3. Learning Objectives by Round</w:t>
      </w:r>
      <w:bookmarkEnd w:id="17"/>
    </w:p>
    <w:p w14:paraId="557FBAB7" w14:textId="77777777" w:rsidR="003743EC" w:rsidRDefault="00000000">
      <w:r>
        <w:t>Each round is designed around a specific set of learning objectives anchored in academic theory, regulatory frameworks, and professional competency standards. The objectives are graduated in complexity across the 10-round arc: R1–3 build foundational ESG literacy; R4–7 develop systems-thinking and trade-off analysis capabilities; R8–10 require integration of all prior learning into a coherent long-horizon strategy.</w:t>
      </w:r>
    </w:p>
    <w:p w14:paraId="202AD626" w14:textId="77777777" w:rsidR="003743EC" w:rsidRDefault="00000000">
      <w:r>
        <w:pict w14:anchorId="4C8388F6">
          <v:rect id="_x0000_i1217" style="width:0;height:1.5pt" o:hralign="center" o:hrstd="t" o:hr="t"/>
        </w:pict>
      </w:r>
    </w:p>
    <w:p w14:paraId="26663737" w14:textId="77777777" w:rsidR="003743EC" w:rsidRDefault="00000000">
      <w:pPr>
        <w:pStyle w:val="Heading3"/>
      </w:pPr>
      <w:bookmarkStart w:id="18" w:name="Xe8afc710f87e572995b4cb3a5cca50237466e77"/>
      <w:bookmarkStart w:id="19" w:name="_Toc232946691"/>
      <w:r>
        <w:t>Round 1 — Stakeholder Mapping and the Value of Information</w:t>
      </w:r>
      <w:bookmarkEnd w:id="19"/>
    </w:p>
    <w:p w14:paraId="3A60F06E" w14:textId="77777777" w:rsidR="003743EC" w:rsidRDefault="00000000">
      <w:r>
        <w:rPr>
          <w:b/>
          <w:bCs/>
        </w:rPr>
        <w:t>Crisis Theme:</w:t>
      </w:r>
      <w:r>
        <w:t xml:space="preserve"> Stakeholder Landscape Mapping</w:t>
      </w:r>
    </w:p>
    <w:p w14:paraId="33F46F53" w14:textId="77777777" w:rsidR="003743EC" w:rsidRDefault="00000000">
      <w:pPr>
        <w:pStyle w:val="BodyText"/>
      </w:pPr>
      <w:r>
        <w:rPr>
          <w:b/>
          <w:bCs/>
        </w:rPr>
        <w:t>Primary Learning Objectives:</w:t>
      </w:r>
      <w:r>
        <w:t xml:space="preserve"> - Understand that strategy selection must be preceded by stakeholder identification and salience assessment - Apply Mendelow’s (1991) Power-Interest Matrix to classify stakeholders - Apply Mitchell, Agle &amp; Wood’s (1997) Salience Model (power, legitimacy, urgency) to prioritise stakeholder engagement - Appreciate the quantifiable value of investing in information before committing to strategy</w:t>
      </w:r>
    </w:p>
    <w:p w14:paraId="435F81F1" w14:textId="77777777" w:rsidR="003743EC" w:rsidRDefault="00000000">
      <w:pPr>
        <w:pStyle w:val="BodyText"/>
      </w:pPr>
      <w:r>
        <w:rPr>
          <w:b/>
          <w:bCs/>
        </w:rPr>
        <w:t>Design Rationale:</w:t>
      </w:r>
    </w:p>
    <w:p w14:paraId="4208DCA2" w14:textId="77777777" w:rsidR="003743EC" w:rsidRDefault="00000000">
      <w:pPr>
        <w:pStyle w:val="BodyText"/>
      </w:pPr>
      <w:r>
        <w:t xml:space="preserve">R1 is structured in two phases in Standard difficulty: an orientation phase (which introduces BU mechanics) and a decision phase (the stakeholder mapping crisis). This split is deliberate, following </w:t>
      </w:r>
      <w:r>
        <w:rPr>
          <w:b/>
          <w:bCs/>
        </w:rPr>
        <w:t>Sweller’s (1988) Cognitive Load Theory</w:t>
      </w:r>
      <w:r>
        <w:t xml:space="preserve"> — new participants face high intrinsic cognitive load from the simulation interface itself. Splitting R1 reduces extraneous load by deferring the decision task until basic interface literacy is established.</w:t>
      </w:r>
    </w:p>
    <w:p w14:paraId="690503C6" w14:textId="77777777" w:rsidR="003743EC" w:rsidRDefault="00000000">
      <w:pPr>
        <w:pStyle w:val="BodyText"/>
      </w:pPr>
      <w:r>
        <w:t xml:space="preserve">The crisis options in R1 are designed so that Option A (commission a full stakeholder audit, $3M cost) has a net present value of approximately 5× its cost when its cross-round benefits are calculated at Round 10. This operationalises the </w:t>
      </w:r>
      <w:r>
        <w:rPr>
          <w:b/>
          <w:bCs/>
        </w:rPr>
        <w:t>Value of Information</w:t>
      </w:r>
      <w:r>
        <w:t xml:space="preserve"> concept from decision theory. Players who select the cheaper options in R1 because “$3M is too expensive in Round 1” are making the classic executive mistake of discounting information value.</w:t>
      </w:r>
    </w:p>
    <w:p w14:paraId="006EA35E" w14:textId="77777777" w:rsidR="003743EC" w:rsidRDefault="00000000">
      <w:pPr>
        <w:pStyle w:val="BodyText"/>
      </w:pPr>
      <w:r>
        <w:t xml:space="preserve">The R1 decision, if the team runs only a shallow tier-1 screen instead of commissioning the Full Supplier Audit, sets the </w:t>
      </w:r>
      <w:r>
        <w:rPr>
          <w:rStyle w:val="VerbatimChar"/>
        </w:rPr>
        <w:t>electronics_blindspot</w:t>
      </w:r>
      <w:r>
        <w:t xml:space="preserve"> flag, which cascades into the R4 contagion crisis and doubles its severity. This connection is deliberately concealed in R1 — players are not told that this flag matters downstream. This models the real governance reality that the importance of early due diligence is only legible in retrospect.</w:t>
      </w:r>
    </w:p>
    <w:p w14:paraId="2F7DF7DC" w14:textId="77777777" w:rsidR="003743EC" w:rsidRDefault="00000000">
      <w:pPr>
        <w:pStyle w:val="BodyText"/>
      </w:pPr>
      <w:r>
        <w:rPr>
          <w:b/>
          <w:bCs/>
        </w:rPr>
        <w:t>Key Academic Anchors:</w:t>
      </w:r>
      <w:r>
        <w:t xml:space="preserve"> - Mendelow (1991) — Power-Interest Matrix - Mitchell, Agle &amp; Wood (1997) — Stakeholder Salience Theory - Sweller (1988) — Cognitive Load Theory (R1 phase-split design)</w:t>
      </w:r>
    </w:p>
    <w:p w14:paraId="0E9A7AEF" w14:textId="77777777" w:rsidR="003743EC" w:rsidRDefault="00000000">
      <w:r>
        <w:pict w14:anchorId="6D2A29B2">
          <v:rect id="_x0000_i1218" style="width:0;height:1.5pt" o:hralign="center" o:hrstd="t" o:hr="t"/>
        </w:pict>
      </w:r>
    </w:p>
    <w:p w14:paraId="576AD0CB" w14:textId="77777777" w:rsidR="003743EC" w:rsidRDefault="00000000">
      <w:pPr>
        <w:pStyle w:val="Heading3"/>
      </w:pPr>
      <w:bookmarkStart w:id="20" w:name="X48d4b7f8267c11323d6784baeffbe67a1c91a37"/>
      <w:bookmarkStart w:id="21" w:name="_Toc232946692"/>
      <w:bookmarkEnd w:id="18"/>
      <w:r>
        <w:t>Round 2 — Double Materiality and Legitimacy</w:t>
      </w:r>
      <w:bookmarkEnd w:id="21"/>
    </w:p>
    <w:p w14:paraId="37D8D327" w14:textId="77777777" w:rsidR="003743EC" w:rsidRDefault="00000000">
      <w:r>
        <w:rPr>
          <w:b/>
          <w:bCs/>
        </w:rPr>
        <w:t>Crisis Theme:</w:t>
      </w:r>
      <w:r>
        <w:t xml:space="preserve"> Materiality Assessment under CSRD</w:t>
      </w:r>
    </w:p>
    <w:p w14:paraId="14294168" w14:textId="77777777" w:rsidR="003743EC" w:rsidRDefault="00000000">
      <w:pPr>
        <w:pStyle w:val="BodyText"/>
      </w:pPr>
      <w:r>
        <w:rPr>
          <w:b/>
          <w:bCs/>
        </w:rPr>
        <w:t>Primary Learning Objectives:</w:t>
      </w:r>
      <w:r>
        <w:t xml:space="preserve"> - Distinguish between financial materiality (outside-in: ESG risks that affect enterprise value) and impact materiality (inside-out: company impacts on people and environment) - Apply the Double Materiality concept as defined in CSRD/ESRS 1 Section 1.51 - Understand that materiality assessment is not optional or cosmetic under CSRD — it is a governance </w:t>
        <w:lastRenderedPageBreak/>
        <w:t>requirement - Apply Suchman’s (1995) Legitimacy Theory to understand why inaccurate materiality assessments create legitimacy gaps</w:t>
      </w:r>
    </w:p>
    <w:p w14:paraId="0DBEFC24" w14:textId="77777777" w:rsidR="003743EC" w:rsidRDefault="00000000">
      <w:pPr>
        <w:pStyle w:val="BodyText"/>
      </w:pPr>
      <w:r>
        <w:rPr>
          <w:b/>
          <w:bCs/>
        </w:rPr>
        <w:t>Design Rationale:</w:t>
      </w:r>
    </w:p>
    <w:p w14:paraId="72DB9DE2" w14:textId="77777777" w:rsidR="003743EC" w:rsidRDefault="00000000">
      <w:pPr>
        <w:pStyle w:val="BodyText"/>
      </w:pPr>
      <w:r>
        <w:t xml:space="preserve">The Double Materiality Matrix exercise in R2 is the simulation’s most cognitively demanding single task. It presents participants with 18 ESG topics and asks them to classify each across two axes simultaneously. This is intentionally challenging.</w:t>
      </w:r>
    </w:p>
    <w:p w14:paraId="6E44D8C4" w14:textId="77777777" w:rsidR="003743EC" w:rsidRDefault="00000000">
      <w:pPr>
        <w:pStyle w:val="BodyText"/>
      </w:pPr>
      <w:r>
        <w:t xml:space="preserve">The exercise is not designed to be easy because </w:t>
      </w:r>
      <w:r>
        <w:rPr>
          <w:b/>
          <w:bCs/>
        </w:rPr>
        <w:t>real CSRD materiality assessments are not easy</w:t>
      </w:r>
      <w:r>
        <w:t>. ESRS 1 Section 1.51 requires companies to conduct a genuine, documented, stakeholder-informed materiality assessment. Many companies in 2023–2025 discovered that their existing materiality processes were insufficient for CSRD compliance. Participants who find the R2 exercise difficult are experiencing a calibrated approximation of this real-world challenge.</w:t>
      </w:r>
    </w:p>
    <w:p w14:paraId="623CC62C" w14:textId="77777777" w:rsidR="003743EC" w:rsidRDefault="00000000">
      <w:pPr>
        <w:pStyle w:val="BodyText"/>
      </w:pPr>
      <w:r>
        <w:t xml:space="preserve">The </w:t>
      </w:r>
      <w:r>
        <w:rPr>
          <w:b/>
          <w:bCs/>
        </w:rPr>
        <w:t>minus 10 reputation penalty</w:t>
      </w:r>
      <w:r>
        <w:t xml:space="preserve"> for missing Q1 nodes at below 90% accuracy is derived from Legitimacy Theory (Suchman, 1995). Q1 nodes are the highest-salience topics — those that both affect enterprise value </w:t>
      </w:r>
      <w:r>
        <w:rPr>
          <w:i/>
          <w:iCs/>
        </w:rPr>
        <w:t>and</w:t>
      </w:r>
      <w:r>
        <w:t xml:space="preserve"> have the greatest societal impact. A company that fails to identify these topics in its materiality assessment is demonstrating a legitimacy gap: a mismatch between its stated commitment to ESG governance and its actual capability. The penalty models the market and stakeholder response to that gap.</w:t>
      </w:r>
    </w:p>
    <w:p w14:paraId="508B6046" w14:textId="77777777" w:rsidR="003743EC" w:rsidRDefault="00000000">
      <w:pPr>
        <w:pStyle w:val="BodyText"/>
      </w:pPr>
      <w:r>
        <w:rPr>
          <w:b/>
          <w:bCs/>
        </w:rPr>
        <w:t>Key Academic Anchors:</w:t>
      </w:r>
      <w:r>
        <w:t xml:space="preserve"> - European Commission (2023) — CSRD/ESRS 1 Section 1.51 - Suchman (1995) — Legitimacy Theory - GRI (2016) — Materiality Principle (historical context)</w:t>
      </w:r>
    </w:p>
    <w:p w14:paraId="0DF9328D" w14:textId="77777777" w:rsidR="003743EC" w:rsidRDefault="00000000">
      <w:r>
        <w:pict w14:anchorId="058E73D3">
          <v:rect id="_x0000_i1219" style="width:0;height:1.5pt" o:hralign="center" o:hrstd="t" o:hr="t"/>
        </w:pict>
      </w:r>
    </w:p>
    <w:p w14:paraId="2C150BE3" w14:textId="77777777" w:rsidR="003743EC" w:rsidRDefault="00000000">
      <w:pPr>
        <w:pStyle w:val="Heading3"/>
      </w:pPr>
      <w:bookmarkStart w:id="22" w:name="X3f66c0596302785de9ba6804845107807a0ad92"/>
      <w:bookmarkStart w:id="23" w:name="_Toc232946693"/>
      <w:bookmarkEnd w:id="20"/>
      <w:r>
        <w:t>Round 3 — Scope 3 Accounting and First-Mover Advantage</w:t>
      </w:r>
      <w:bookmarkEnd w:id="23"/>
    </w:p>
    <w:p w14:paraId="3E75D3F0" w14:textId="77777777" w:rsidR="003743EC" w:rsidRDefault="00000000">
      <w:r>
        <w:rPr>
          <w:b/>
          <w:bCs/>
        </w:rPr>
        <w:t>Crisis Theme:</w:t>
      </w:r>
      <w:r>
        <w:t xml:space="preserve"> Supply Chain Decarbonisation</w:t>
      </w:r>
    </w:p>
    <w:p w14:paraId="49507B2C" w14:textId="77777777" w:rsidR="003743EC" w:rsidRDefault="00000000">
      <w:pPr>
        <w:pStyle w:val="BodyText"/>
      </w:pPr>
      <w:r>
        <w:rPr>
          <w:b/>
          <w:bCs/>
        </w:rPr>
        <w:t>Primary Learning Objectives:</w:t>
      </w:r>
      <w:r>
        <w:t xml:space="preserve"> - Understand that Scope 3 emissions typically represent 70–90% of total corporate emissions in manufacturing-intensive companies - Apply First-Mover Advantage theory to understand the strategic value of early supply chain decarbonisation - Apply Real Options Theory to understand that </w:t>
      </w:r>
      <w:r>
        <w:rPr>
          <w:i/>
          <w:iCs/>
        </w:rPr>
        <w:t>deferring</w:t>
      </w:r>
      <w:r>
        <w:t xml:space="preserve"> decarbonisation is not a neutral act — it has a compounding cost - Understand Natural Capital Debt (NCD) as a proxy for stranded asset risk</w:t>
      </w:r>
    </w:p>
    <w:p w14:paraId="2F9230C9" w14:textId="77777777" w:rsidR="003743EC" w:rsidRDefault="00000000">
      <w:pPr>
        <w:pStyle w:val="BodyText"/>
      </w:pPr>
      <w:r>
        <w:rPr>
          <w:b/>
          <w:bCs/>
        </w:rPr>
        <w:t>Design Rationale:</w:t>
      </w:r>
    </w:p>
    <w:p w14:paraId="166654C8" w14:textId="77777777" w:rsidR="003743EC" w:rsidRDefault="00000000">
      <w:pPr>
        <w:pStyle w:val="BodyText"/>
      </w:pPr>
      <w:r>
        <w:t xml:space="preserve">Option C in R3 (“Defer &amp; Monitor”) is a trap that is deliberately made attractive. It has zero immediate treasury cost, its narrative description is reasonable-sounding (“Wait for regulatory clarity”), and it avoids the uncomfortable $3M upfront cost of Option A. Experienced executives often select it precisely because they are used to deferring capital expenditure that doesn’t show immediate returns.</w:t>
      </w:r>
    </w:p>
    <w:p w14:paraId="6ECF3440" w14:textId="77777777" w:rsidR="003743EC" w:rsidRDefault="00000000">
      <w:pPr>
        <w:pStyle w:val="BodyText"/>
      </w:pPr>
      <w:r>
        <w:t xml:space="preserve">The trap is that deferral is not costless in the simulation — it activates the </w:t>
      </w:r>
      <w:r>
        <w:rPr>
          <w:rStyle w:val="VerbatimChar"/>
        </w:rPr>
        <w:t>carbon_deferred</w:t>
      </w:r>
      <w:r>
        <w:t xml:space="preserve"> flag, which compounds NCD at an accelerated rate from R4 onwards. This is grounded in </w:t>
      </w:r>
      <w:r>
        <w:rPr>
          <w:b/>
          <w:bCs/>
        </w:rPr>
        <w:t>Real Options Theory</w:t>
      </w:r>
      <w:r>
        <w:t xml:space="preserve"> (Dixit &amp; Pindyck, 1994): the option to defer has a value, but exercising it means foregoing the benefits that would have accrued from early action. Carbon Tracker (2013) demonstrated that delayed decarbonisation creates stranded asset risk that compounds over time.</w:t>
      </w:r>
    </w:p>
    <w:p w14:paraId="1E1472EA" w14:textId="77777777" w:rsidR="003743EC" w:rsidRDefault="00000000">
      <w:pPr>
        <w:pStyle w:val="BodyText"/>
      </w:pPr>
      <w:r>
        <w:t xml:space="preserve">The First-Mover Advantage framing (Lieberman &amp; Montgomery, 1988) is relevant to Option A: early supply chain decarbonisation creates proprietary standards, supplier relationships, and cost structures that competitors cannot easily replicate. Teams that commission the full audit in R3 </w:t>
        <w:lastRenderedPageBreak/>
        <w:t xml:space="preserve">receive a </w:t>
      </w:r>
      <w:r>
        <w:rPr>
          <w:rStyle w:val="VerbatimChar"/>
        </w:rPr>
        <w:t>carbon_leader</w:t>
      </w:r>
      <w:r>
        <w:t xml:space="preserve"> flag that provides synergy bonuses in R7 (Circular Economy) and R9 (Just Transition).</w:t>
      </w:r>
    </w:p>
    <w:p w14:paraId="118931A2" w14:textId="77777777" w:rsidR="003743EC" w:rsidRDefault="00000000">
      <w:pPr>
        <w:pStyle w:val="BodyText"/>
      </w:pPr>
      <w:r>
        <w:rPr>
          <w:b/>
          <w:bCs/>
        </w:rPr>
        <w:t>Key Academic Anchors:</w:t>
      </w:r>
      <w:r>
        <w:t xml:space="preserve"> - Lieberman &amp; Montgomery (1988) — First-Mover Advantage - Dixit &amp; Pindyck (1994) — Real Options Theory - Carbon Tracker Initiative (2013) — Stranded Assets</w:t>
      </w:r>
    </w:p>
    <w:p w14:paraId="5741D749" w14:textId="77777777" w:rsidR="003743EC" w:rsidRDefault="00000000">
      <w:r>
        <w:pict w14:anchorId="44FE1754">
          <v:rect id="_x0000_i1220" style="width:0;height:1.5pt" o:hralign="center" o:hrstd="t" o:hr="t"/>
        </w:pict>
      </w:r>
    </w:p>
    <w:p w14:paraId="13ECF7A5" w14:textId="77777777" w:rsidR="003743EC" w:rsidRDefault="00000000">
      <w:pPr>
        <w:pStyle w:val="Heading3"/>
      </w:pPr>
      <w:bookmarkStart w:id="24" w:name="Xe7eb36f7e19c5bedc62638deab0a176d3dde8af"/>
      <w:bookmarkStart w:id="25" w:name="_Toc232946694"/>
      <w:bookmarkEnd w:id="22"/>
      <w:r>
        <w:t>Round 4 — Double-Loop Learning and Path Dependency</w:t>
      </w:r>
      <w:bookmarkEnd w:id="25"/>
    </w:p>
    <w:p w14:paraId="04E52C8B" w14:textId="77777777" w:rsidR="003743EC" w:rsidRDefault="00000000">
      <w:r>
        <w:rPr>
          <w:b/>
          <w:bCs/>
        </w:rPr>
        <w:t>Crisis Theme:</w:t>
      </w:r>
      <w:r>
        <w:t xml:space="preserve"> Supply Chain Liability Crystallisation</w:t>
      </w:r>
    </w:p>
    <w:p w14:paraId="66EA7B6E" w14:textId="77777777" w:rsidR="003743EC" w:rsidRDefault="00000000">
      <w:pPr>
        <w:pStyle w:val="BodyText"/>
      </w:pPr>
      <w:r>
        <w:rPr>
          <w:b/>
          <w:bCs/>
        </w:rPr>
        <w:t>Primary Learning Objectives:</w:t>
      </w:r>
      <w:r>
        <w:t xml:space="preserve"> - Experience Double-Loop Learning (Argyris, 1977) directly through the R1 to R4 cascade consequence - Understand path dependency: early decisions constrain later strategic options - Apply Kahneman’s (2011) Dual Process Theory to recognise System 1 (fast, intuitive) decision-making errors in R1 - Quantify the non-linear downstream costs of incomplete due diligence</w:t>
      </w:r>
    </w:p>
    <w:p w14:paraId="4C8E07DF" w14:textId="77777777" w:rsidR="003743EC" w:rsidRDefault="00000000">
      <w:pPr>
        <w:pStyle w:val="BodyText"/>
      </w:pPr>
      <w:r>
        <w:rPr>
          <w:b/>
          <w:bCs/>
        </w:rPr>
        <w:t>Design Rationale:</w:t>
      </w:r>
    </w:p>
    <w:p w14:paraId="7FD0D8D7" w14:textId="77777777" w:rsidR="003743EC" w:rsidRDefault="00000000">
      <w:pPr>
        <w:pStyle w:val="BodyText"/>
      </w:pPr>
      <w:r>
        <w:t xml:space="preserve">R4 is the most emotionally charged round in the simulation for most cohorts, and this is by design. Teams that conducted the full stakeholder audit in R1 enter R4 with the </w:t>
      </w:r>
      <w:r>
        <w:rPr>
          <w:rStyle w:val="VerbatimChar"/>
        </w:rPr>
        <w:t>electronics_blindspot</w:t>
      </w:r>
      <w:r>
        <w:t xml:space="preserve"> consequence neutralised. Teams that took the cheaper options in R1 encounter, in R4, the full crystallisation of their electronics supply chain liability: a material NCD spike, a reputational hit, and constrained strategic options.</w:t>
      </w:r>
    </w:p>
    <w:p w14:paraId="0A1BA05A" w14:textId="77777777" w:rsidR="003743EC" w:rsidRDefault="00000000">
      <w:pPr>
        <w:pStyle w:val="BodyText"/>
      </w:pPr>
      <w:r>
        <w:t xml:space="preserve">The facilitation script for R4 explicitly instructs facilitators to use this moment as a </w:t>
      </w:r>
      <w:r>
        <w:rPr>
          <w:b/>
          <w:bCs/>
        </w:rPr>
        <w:t>Board Room Moment</w:t>
      </w:r>
      <w:r>
        <w:t xml:space="preserve"> trigger — to pause the game and conduct a structured root-cause reflection before teams commit their R4 decisions. The question is not “what should you do now?” but “what should you have done in R1, and why didn’t you?” This is the exact structure of double-loop learning: revisiting and revising the governing assumptions rather than just correcting the immediate action.</w:t>
      </w:r>
    </w:p>
    <w:p w14:paraId="60E35411" w14:textId="77777777" w:rsidR="003743EC" w:rsidRDefault="00000000">
      <w:pPr>
        <w:pStyle w:val="BodyText"/>
      </w:pPr>
      <w:r>
        <w:t>The Kahneman (2011) connection is important here. Many R1 decisions are System 1 decisions — rapid, intuitive, driven by immediate cost aversion. R4’s cascade is the simulation’s mechanism for making participants aware of this. The Board Room Moment asks: “Was your R1 reasoning deliberate, or was it a fast intuition that you didn’t examine critically?”</w:t>
      </w:r>
    </w:p>
    <w:p w14:paraId="0C1CF2EF" w14:textId="77777777" w:rsidR="003743EC" w:rsidRDefault="00000000">
      <w:pPr>
        <w:pStyle w:val="BodyText"/>
      </w:pPr>
      <w:r>
        <w:rPr>
          <w:b/>
          <w:bCs/>
        </w:rPr>
        <w:t>Key Academic Anchors:</w:t>
      </w:r>
      <w:r>
        <w:t xml:space="preserve"> - Argyris (1977) — Double-Loop Learning - Kahneman (2011) — Dual Process Theory (System 1 / System 2) - Barney (1991) — Resource-Based View / VRIO (path dependency)</w:t>
      </w:r>
    </w:p>
    <w:p w14:paraId="4DA07DBC" w14:textId="77777777" w:rsidR="003743EC" w:rsidRDefault="00000000">
      <w:r>
        <w:pict w14:anchorId="62D1DBC3">
          <v:rect id="_x0000_i1221" style="width:0;height:1.5pt" o:hralign="center" o:hrstd="t" o:hr="t"/>
        </w:pict>
      </w:r>
    </w:p>
    <w:p w14:paraId="21047701" w14:textId="77777777" w:rsidR="003743EC" w:rsidRDefault="00000000">
      <w:pPr>
        <w:pStyle w:val="Heading3"/>
      </w:pPr>
      <w:bookmarkStart w:id="26" w:name="X4fe7cb39f360845e3535dd015c80f89f220037e"/>
      <w:bookmarkStart w:id="27" w:name="_Toc232946695"/>
      <w:bookmarkEnd w:id="24"/>
      <w:r>
        <w:t>Round 5 — Physical Climate Risk and Stewardship Governance</w:t>
      </w:r>
      <w:bookmarkEnd w:id="27"/>
    </w:p>
    <w:p w14:paraId="435635CF" w14:textId="77777777" w:rsidR="003743EC" w:rsidRDefault="00000000">
      <w:r>
        <w:rPr>
          <w:b/>
          <w:bCs/>
        </w:rPr>
        <w:t>Crisis Theme:</w:t>
      </w:r>
      <w:r>
        <w:t xml:space="preserve"> Physical Climate Risk Assessment</w:t>
      </w:r>
    </w:p>
    <w:p w14:paraId="5D5B14DF" w14:textId="77777777" w:rsidR="003743EC" w:rsidRDefault="00000000">
      <w:pPr>
        <w:pStyle w:val="BodyText"/>
      </w:pPr>
      <w:r>
        <w:rPr>
          <w:b/>
          <w:bCs/>
        </w:rPr>
        <w:t>Primary Learning Objectives:</w:t>
      </w:r>
      <w:r>
        <w:t xml:space="preserve"> - Apply TCFD physical risk taxonomy (acute and chronic) to business unit vulnerability assessment - Understand that Shadow Board structures are a governance response to principal-agent problems under uncertainty - Apply Stewardship Theory (Davis et al., 1997) to understand Shadow Board as board acting as agent of multiple principals simultaneously - Develop competency in stochastic decision-making under climate uncertainty</w:t>
      </w:r>
    </w:p>
    <w:p w14:paraId="0A3CA494" w14:textId="77777777" w:rsidR="003743EC" w:rsidRDefault="00000000">
      <w:pPr>
        <w:pStyle w:val="BodyText"/>
      </w:pPr>
      <w:r>
        <w:rPr>
          <w:b/>
          <w:bCs/>
        </w:rPr>
        <w:t>Design Rationale:</w:t>
      </w:r>
    </w:p>
    <w:p w14:paraId="53827504" w14:textId="77777777" w:rsidR="003743EC" w:rsidRDefault="00000000">
      <w:pPr>
        <w:pStyle w:val="BodyText"/>
      </w:pPr>
      <w:r>
        <w:lastRenderedPageBreak/>
        <w:t>R5 is the round where Foreshadowing KPIs first become visible in the dashboard. From R5 onwards, players can see leading indicators of where their pathway is heading. This models a core executive skill — the ability to read early-warning signals embedded in operational data before they crystallise into crises.</w:t>
      </w:r>
    </w:p>
    <w:p w14:paraId="4ECFFD95" w14:textId="77777777" w:rsidR="003743EC" w:rsidRDefault="00000000">
      <w:pPr>
        <w:pStyle w:val="BodyText"/>
      </w:pPr>
      <w:r>
        <w:t xml:space="preserve">The Shadow Board mechanic operationalises </w:t>
      </w:r>
      <w:r>
        <w:rPr>
          <w:b/>
          <w:bCs/>
        </w:rPr>
        <w:t>Stewardship Theory</w:t>
      </w:r>
      <w:r>
        <w:t xml:space="preserve"> (Davis, Schoorman &amp; Donaldson, 1997). Stewardship Theory argues that in certain governance contexts, managers act as stewards of organisational assets — aligned with organisational goals rather than pursuing personal self-interest. The Shadow Board places next-generation leaders in a governance advisory role, creating a multi-generational stewardship structure that improves long-horizon ESG decision quality.</w:t>
      </w:r>
    </w:p>
    <w:p w14:paraId="1C4022E2" w14:textId="77777777" w:rsidR="003743EC" w:rsidRDefault="00000000">
      <w:pPr>
        <w:pStyle w:val="BodyText"/>
      </w:pPr>
      <w:r>
        <w:t>Teams that activate the Shadow Board receive a governance risk score reduction and a small synergy bonus in subsequent rounds. The benefit is not immediate — it reflects the gradual accumulation of long-horizon thinking that such structures enable. This delay is pedagogically intentional: it models the fact that governance improvements rarely produce instant financial results.</w:t>
      </w:r>
    </w:p>
    <w:p w14:paraId="63870533" w14:textId="77777777" w:rsidR="003743EC" w:rsidRDefault="00000000">
      <w:pPr>
        <w:pStyle w:val="BodyText"/>
      </w:pPr>
      <w:r>
        <w:rPr>
          <w:b/>
          <w:bCs/>
        </w:rPr>
        <w:t>Key Academic Anchors:</w:t>
      </w:r>
      <w:r>
        <w:t xml:space="preserve"> - Davis, Schoorman &amp; Donaldson (1997) — Stewardship Theory - TCFD (2017) — Physical Risk Framework - Knight (1921) — Risk vs. Uncertainty (stochastic framing)</w:t>
      </w:r>
    </w:p>
    <w:p w14:paraId="4DDF7235" w14:textId="77777777" w:rsidR="003743EC" w:rsidRDefault="00000000">
      <w:r>
        <w:pict w14:anchorId="27E8B769">
          <v:rect id="_x0000_i1222" style="width:0;height:1.5pt" o:hralign="center" o:hrstd="t" o:hr="t"/>
        </w:pict>
      </w:r>
    </w:p>
    <w:p w14:paraId="102D3EB0" w14:textId="77777777" w:rsidR="003743EC" w:rsidRDefault="00000000">
      <w:pPr>
        <w:pStyle w:val="Heading3"/>
      </w:pPr>
      <w:bookmarkStart w:id="28" w:name="Xff8f134b9c6bec355bf8eb76e3bdb25dc15ec82"/>
      <w:bookmarkStart w:id="29" w:name="_Toc232946696"/>
      <w:bookmarkEnd w:id="26"/>
      <w:r>
        <w:t>Round 6 — AI Ethics and Algorithmic Governance</w:t>
      </w:r>
      <w:bookmarkEnd w:id="29"/>
    </w:p>
    <w:p w14:paraId="32CA9AD7" w14:textId="77777777" w:rsidR="003743EC" w:rsidRDefault="00000000">
      <w:r>
        <w:rPr>
          <w:b/>
          <w:bCs/>
        </w:rPr>
        <w:t>Crisis Theme:</w:t>
      </w:r>
      <w:r>
        <w:t xml:space="preserve"> AI Deployment and Algorithmic Discrimination</w:t>
      </w:r>
    </w:p>
    <w:p w14:paraId="21A2E6BA" w14:textId="77777777" w:rsidR="003743EC" w:rsidRDefault="00000000">
      <w:pPr>
        <w:pStyle w:val="BodyText"/>
      </w:pPr>
      <w:r>
        <w:rPr>
          <w:b/>
          <w:bCs/>
        </w:rPr>
        <w:t>Primary Learning Objectives:</w:t>
      </w:r>
      <w:r>
        <w:t xml:space="preserve"> - Understand the EU AI Act’s risk classification system and its implications for corporate AI deployment - Identify algorithmic discrimination as an ESG governance risk, not merely an IT issue - Apply ethical reasoning frameworks to AI procurement and deployment decisions - Understand the governance liability created by deploying high-risk AI without adequate audit structures</w:t>
      </w:r>
    </w:p>
    <w:p w14:paraId="017A1F07" w14:textId="77777777" w:rsidR="003743EC" w:rsidRDefault="00000000">
      <w:pPr>
        <w:pStyle w:val="BodyText"/>
      </w:pPr>
      <w:r>
        <w:rPr>
          <w:b/>
          <w:bCs/>
        </w:rPr>
        <w:t>Design Rationale:</w:t>
      </w:r>
    </w:p>
    <w:p w14:paraId="4504FE86" w14:textId="77777777" w:rsidR="003743EC" w:rsidRDefault="00000000">
      <w:pPr>
        <w:pStyle w:val="BodyText"/>
      </w:pPr>
      <w:r>
        <w:t>R6 is the simulation’s most forward-looking round in terms of regulatory environment. The EU AI Act (2024) represents a paradigm shift in how AI systems are governed — moving from self-regulation to mandatory risk classification and conformity assessment.</w:t>
      </w:r>
    </w:p>
    <w:p w14:paraId="6BA5303F" w14:textId="77777777" w:rsidR="003743EC" w:rsidRDefault="00000000">
      <w:pPr>
        <w:pStyle w:val="BodyText"/>
      </w:pPr>
      <w:r>
        <w:t xml:space="preserve">The crisis presents teams with a workforce management AI system that offers significant operational efficiency gains but has been flagged as potentially discriminatory. The three options model real corporate decision pathways: (A) deploy with internal audit, (B) commission external algorithmic audit before deployment, (C) defer AI deployment pending clearer regulatory guidance.</w:t>
      </w:r>
    </w:p>
    <w:p w14:paraId="3B38D6D3" w14:textId="77777777" w:rsidR="003743EC" w:rsidRDefault="00000000">
      <w:pPr>
        <w:pStyle w:val="BodyText"/>
      </w:pPr>
      <w:r>
        <w:t xml:space="preserve">The ethical reasoning dimension is explicitly connected to the simulation’s </w:t>
      </w:r>
      <w:r>
        <w:rPr>
          <w:b/>
          <w:bCs/>
        </w:rPr>
        <w:t>Ethical Reasoning</w:t>
      </w:r>
      <w:r>
        <w:t xml:space="preserve"> competency dimension — one of the four assessment dimensions alongside Financial Acumen, ESG Literacy, and Systems Thinking. R6 is the primary round in which this dimension is assessed.</w:t>
      </w:r>
    </w:p>
    <w:p w14:paraId="0E9632E6" w14:textId="77777777" w:rsidR="003743EC" w:rsidRDefault="00000000">
      <w:pPr>
        <w:pStyle w:val="BodyText"/>
      </w:pPr>
      <w:r>
        <w:t>The design deliberately avoids a clear “right answer.” Option B is the most defensible from a regulatory standpoint but has the highest short-term cost. Option A is common in practice but creates liability if discriminatory patterns emerge. Option C avoids immediate risk but foregoes first-mover advantage in AI-enabled efficiency. Teams must make a genuine trade-off evaluation.</w:t>
      </w:r>
    </w:p>
    <w:p w14:paraId="332B57A7" w14:textId="77777777" w:rsidR="003743EC" w:rsidRDefault="00000000">
      <w:pPr>
        <w:pStyle w:val="BodyText"/>
      </w:pPr>
      <w:r>
        <w:rPr>
          <w:b/>
          <w:bCs/>
        </w:rPr>
        <w:t>Key Academic Anchors:</w:t>
      </w:r>
      <w:r>
        <w:t xml:space="preserve"> - European Commission (2024) — EU AI Act - Floridi et al. (2020) — AI Ethics Principles - Mitchell &amp; Eubanks (2019) — Algorithmic Discrimination</w:t>
      </w:r>
    </w:p>
    <w:p w14:paraId="20CE810E" w14:textId="77777777" w:rsidR="003743EC" w:rsidRDefault="00000000">
      <w:r>
        <w:lastRenderedPageBreak/>
        <w:pict w14:anchorId="25D0FC61">
          <v:rect id="_x0000_i1223" style="width:0;height:1.5pt" o:hralign="center" o:hrstd="t" o:hr="t"/>
        </w:pict>
      </w:r>
    </w:p>
    <w:p w14:paraId="2D39B254" w14:textId="77777777" w:rsidR="003743EC" w:rsidRDefault="00000000">
      <w:pPr>
        <w:pStyle w:val="Heading3"/>
      </w:pPr>
      <w:bookmarkStart w:id="30" w:name="Xecb8c4de672e1b948b9caa8658800a5fa17ed37"/>
      <w:bookmarkStart w:id="31" w:name="_Toc232946697"/>
      <w:bookmarkEnd w:id="28"/>
      <w:r>
        <w:t>Round 7 — Circular Economy and Shared Value</w:t>
      </w:r>
      <w:bookmarkEnd w:id="31"/>
    </w:p>
    <w:p w14:paraId="197B1BDB" w14:textId="77777777" w:rsidR="003743EC" w:rsidRDefault="00000000">
      <w:r>
        <w:rPr>
          <w:b/>
          <w:bCs/>
        </w:rPr>
        <w:t>Crisis Theme:</w:t>
      </w:r>
      <w:r>
        <w:t xml:space="preserve"> Circular Business Model Transformation</w:t>
      </w:r>
    </w:p>
    <w:p w14:paraId="22E86425" w14:textId="77777777" w:rsidR="003743EC" w:rsidRDefault="00000000">
      <w:pPr>
        <w:pStyle w:val="BodyText"/>
      </w:pPr>
      <w:r>
        <w:rPr>
          <w:b/>
          <w:bCs/>
        </w:rPr>
        <w:t>Primary Learning Objectives:</w:t>
      </w:r>
      <w:r>
        <w:t xml:space="preserve"> - Apply the Circular Economy framework (Ellen MacArthur Foundation / McDonough &amp; Braungart, 2002) to business model redesign - Apply Porter &amp; Kramer’s (2011) Shared Value framework to identify economic-social value co-creation opportunities - Apply the ReSOLVE framework to identify circular strategies (Regenerate, Share, Optimise, Loop, Virtualise, Exchange) - Understand Industrial Ecology principles: waste streams as inputs, closed-loop material flows</w:t>
      </w:r>
    </w:p>
    <w:p w14:paraId="4856B323" w14:textId="77777777" w:rsidR="003743EC" w:rsidRDefault="00000000">
      <w:pPr>
        <w:pStyle w:val="BodyText"/>
      </w:pPr>
      <w:r>
        <w:rPr>
          <w:b/>
          <w:bCs/>
        </w:rPr>
        <w:t>Design Rationale:</w:t>
      </w:r>
    </w:p>
    <w:p w14:paraId="41231B6F" w14:textId="77777777" w:rsidR="003743EC" w:rsidRDefault="00000000">
      <w:pPr>
        <w:pStyle w:val="BodyText"/>
      </w:pPr>
      <w:r>
        <w:t xml:space="preserve">R7 is the simulation’s “constructive” round — where teams, for the first time, are offered a decision pathway that genuinely improves both financial performance </w:t>
      </w:r>
      <w:r>
        <w:rPr>
          <w:i/>
          <w:iCs/>
        </w:rPr>
        <w:t>and</w:t>
      </w:r>
      <w:r>
        <w:t xml:space="preserve"> ESG metrics simultaneously, rather than trading one against the other. Most of R1–R6 involves managing trade-offs. R7 introduces the idea that at sufficient levels of strategic sophistication, trade-offs can be transcended.</w:t>
      </w:r>
    </w:p>
    <w:p w14:paraId="7AE0435E" w14:textId="77777777" w:rsidR="003743EC" w:rsidRDefault="00000000">
      <w:pPr>
        <w:pStyle w:val="BodyText"/>
      </w:pPr>
      <w:r>
        <w:t>This mirrors Porter &amp; Kramer’s (2011) Shared Value argument: that the perceived conflict between economic competitiveness and social progress is a false dichotomy rooted in an outdated conception of corporate value creation. Teams that have maintained strong ESG metrics across R1–6 unlock a synergy bonus in R7 that allows their circular economy investment to generate higher returns than it would for teams with weaker ESG foundations.</w:t>
      </w:r>
    </w:p>
    <w:p w14:paraId="08856962" w14:textId="77777777" w:rsidR="003743EC" w:rsidRDefault="00000000">
      <w:pPr>
        <w:pStyle w:val="BodyText"/>
      </w:pPr>
      <w:r>
        <w:t xml:space="preserve">The </w:t>
      </w:r>
      <w:r>
        <w:rPr>
          <w:b/>
          <w:bCs/>
        </w:rPr>
        <w:t>ReSOLVE framework</w:t>
      </w:r>
      <w:r>
        <w:t xml:space="preserve"> (Ellen MacArthur Foundation) is operationalised as the menu of circular strategy options in R7’s pillar decisions. Each strategy has different financial and NCD profiles, requiring teams to analyse their specific BU configuration and select the most appropriate combination — analysis-level cognition (Bloom L4) applied to a real-world strategic framework.</w:t>
      </w:r>
    </w:p>
    <w:p w14:paraId="01288E60" w14:textId="77777777" w:rsidR="003743EC" w:rsidRDefault="00000000">
      <w:pPr>
        <w:pStyle w:val="BodyText"/>
      </w:pPr>
      <w:r>
        <w:rPr>
          <w:b/>
          <w:bCs/>
        </w:rPr>
        <w:t>Key Academic Anchors:</w:t>
      </w:r>
      <w:r>
        <w:t xml:space="preserve"> - McDonough &amp; Braungart (2002) — Cradle-to-Cradle - Porter &amp; Kramer (2011) — Shared Value - Ellen MacArthur Foundation (2013) — ReSOLVE Framework - Graedel &amp; Allenby (2010) — Industrial Ecology</w:t>
      </w:r>
    </w:p>
    <w:p w14:paraId="0BEAAE14" w14:textId="77777777" w:rsidR="003743EC" w:rsidRDefault="00000000">
      <w:r>
        <w:pict w14:anchorId="5D6EE8C8">
          <v:rect id="_x0000_i1224" style="width:0;height:1.5pt" o:hralign="center" o:hrstd="t" o:hr="t"/>
        </w:pict>
      </w:r>
    </w:p>
    <w:p w14:paraId="4524E765" w14:textId="77777777" w:rsidR="003743EC" w:rsidRDefault="00000000">
      <w:pPr>
        <w:pStyle w:val="Heading3"/>
      </w:pPr>
      <w:bookmarkStart w:id="32" w:name="X15226a5846638e20c8e5df07a46e9a9baeb28f5"/>
      <w:bookmarkStart w:id="33" w:name="_Toc232946698"/>
      <w:bookmarkEnd w:id="30"/>
      <w:r>
        <w:t>Round 8 — Water Stewardship and Nature Risk</w:t>
      </w:r>
      <w:bookmarkEnd w:id="33"/>
    </w:p>
    <w:p w14:paraId="33CDE087" w14:textId="77777777" w:rsidR="003743EC" w:rsidRDefault="00000000">
      <w:r>
        <w:rPr>
          <w:b/>
          <w:bCs/>
        </w:rPr>
        <w:t>Crisis Theme:</w:t>
      </w:r>
      <w:r>
        <w:t xml:space="preserve"> Water Dependency and TNFD Disclosure</w:t>
      </w:r>
    </w:p>
    <w:p w14:paraId="7C2B5A21" w14:textId="77777777" w:rsidR="003743EC" w:rsidRDefault="00000000">
      <w:pPr>
        <w:pStyle w:val="BodyText"/>
      </w:pPr>
      <w:r>
        <w:rPr>
          <w:b/>
          <w:bCs/>
        </w:rPr>
        <w:t>Primary Learning Objectives:</w:t>
      </w:r>
      <w:r>
        <w:t xml:space="preserve"> - Understand water stewardship as a distinct dimension of nature-related risk, not reducible to carbon - Apply the TNFD LEAP framework to nature risk assessment - Understand the trade-off between short-term operational efficiency (water reduction targets) and long-term ecosystem resilience - Apply double materiality to nature risk: water impacts matter both as financial risk and as a company impact on ecosystems</w:t>
      </w:r>
    </w:p>
    <w:p w14:paraId="262DA1F2" w14:textId="77777777" w:rsidR="003743EC" w:rsidRDefault="00000000">
      <w:pPr>
        <w:pStyle w:val="BodyText"/>
      </w:pPr>
      <w:r>
        <w:rPr>
          <w:b/>
          <w:bCs/>
        </w:rPr>
        <w:t>Design Rationale:</w:t>
      </w:r>
    </w:p>
    <w:p w14:paraId="3FAA816D" w14:textId="77777777" w:rsidR="003743EC" w:rsidRDefault="00000000">
      <w:pPr>
        <w:pStyle w:val="BodyText"/>
      </w:pPr>
      <w:r>
        <w:t xml:space="preserve">Water risk is frequently underweighted in ESG frameworks that are carbon-centric. R8 is designed to correct this bias by making water dependency a critical variable for the first time in the simulation arc. The </w:t>
      </w:r>
      <w:r>
        <w:rPr>
          <w:rStyle w:val="VerbatimChar"/>
        </w:rPr>
        <w:t>water_dependency</w:t>
      </w:r>
      <w:r>
        <w:t xml:space="preserve"> field in each BU’s state has been quietly compounding since R1 — </w:t>
        <w:lastRenderedPageBreak/>
        <w:t>teams with manufacturing-intensive BU configurations (high water_dependency) face materially higher water risk exposure in R8.</w:t>
      </w:r>
    </w:p>
    <w:p w14:paraId="0B341B80" w14:textId="77777777" w:rsidR="003743EC" w:rsidRDefault="00000000">
      <w:pPr>
        <w:pStyle w:val="BodyText"/>
      </w:pPr>
      <w:r>
        <w:t>This reveal is pedagogically intentional: teams that did not attend to their BU configuration at session start, and did not monitor water_dependency across rounds, are confronted in R8 with a risk factor they had the data to see but chose not to interpret. This models the TNFD LEAP framework’s “Locate” phase — the first step in nature risk assessment is identifying where the business interacts with nature-dependent ecosystems.</w:t>
      </w:r>
    </w:p>
    <w:p w14:paraId="690FBC5D" w14:textId="77777777" w:rsidR="003743EC" w:rsidRDefault="00000000">
      <w:pPr>
        <w:pStyle w:val="BodyText"/>
      </w:pPr>
      <w:r>
        <w:t>The key trade-off in R8 is between aggressive water efficiency investment (short-term cost, long-term resilience) versus deferred efficiency pending a baseline study (short-term savings, extended exposure). This tension is grounded in the real-world pressure between capital-constrained organisations’ need for short-term results and the long-horizon nature of ecosystem resilience benefits.</w:t>
      </w:r>
    </w:p>
    <w:p w14:paraId="1BBA24D6" w14:textId="77777777" w:rsidR="003743EC" w:rsidRDefault="00000000">
      <w:pPr>
        <w:pStyle w:val="BodyText"/>
      </w:pPr>
      <w:r>
        <w:rPr>
          <w:b/>
          <w:bCs/>
        </w:rPr>
        <w:t>Key Academic Anchors:</w:t>
      </w:r>
      <w:r>
        <w:t xml:space="preserve"> - TNFD (2023) — LEAP Framework for Nature Risk - CEO Water Mandate (UN Global Compact) — Water Stewardship Principles - Hoekstra &amp; Mekonnen (2012) — Water Footprint Assessment</w:t>
      </w:r>
    </w:p>
    <w:p w14:paraId="4F23F28B" w14:textId="77777777" w:rsidR="003743EC" w:rsidRDefault="00000000">
      <w:r>
        <w:pict w14:anchorId="02E52ECE">
          <v:rect id="_x0000_i1225" style="width:0;height:1.5pt" o:hralign="center" o:hrstd="t" o:hr="t"/>
        </w:pict>
      </w:r>
    </w:p>
    <w:p w14:paraId="311C9F4E" w14:textId="77777777" w:rsidR="003743EC" w:rsidRDefault="00000000">
      <w:pPr>
        <w:pStyle w:val="Heading3"/>
      </w:pPr>
      <w:bookmarkStart w:id="34" w:name="X4522a5ec13574fc49fc2b93d52c85bd8a2dd664"/>
      <w:bookmarkStart w:id="35" w:name="_Toc232946699"/>
      <w:bookmarkEnd w:id="32"/>
      <w:r>
        <w:t>Round 9 — Just Transition and Social Contract</w:t>
      </w:r>
      <w:bookmarkEnd w:id="35"/>
    </w:p>
    <w:p w14:paraId="321840E3" w14:textId="77777777" w:rsidR="003743EC" w:rsidRDefault="00000000">
      <w:r>
        <w:rPr>
          <w:b/>
          <w:bCs/>
        </w:rPr>
        <w:t>Crisis Theme:</w:t>
      </w:r>
      <w:r>
        <w:t xml:space="preserve"> Workforce Transformation and Community Impact</w:t>
      </w:r>
    </w:p>
    <w:p w14:paraId="677E1E3A" w14:textId="77777777" w:rsidR="003743EC" w:rsidRDefault="00000000">
      <w:pPr>
        <w:pStyle w:val="BodyText"/>
      </w:pPr>
      <w:r>
        <w:rPr>
          <w:b/>
          <w:bCs/>
        </w:rPr>
        <w:t>Primary Learning Objectives:</w:t>
      </w:r>
      <w:r>
        <w:t xml:space="preserve"> - Apply ILO Just Transition Guidelines to understand the social obligations of corporate decarbonisation - Apply Community Stakeholder Theory to model the social license implications of workforce restructuring - Understand HR investment as a compound growth variable — not a one-time cost - Apply Social Contract Theory to governance: the conditions under which communities grant ongoing legitimacy to corporate operations</w:t>
      </w:r>
    </w:p>
    <w:p w14:paraId="6C5A8822" w14:textId="77777777" w:rsidR="003743EC" w:rsidRDefault="00000000">
      <w:pPr>
        <w:pStyle w:val="BodyText"/>
      </w:pPr>
      <w:r>
        <w:rPr>
          <w:b/>
          <w:bCs/>
        </w:rPr>
        <w:t>Design Rationale:</w:t>
      </w:r>
    </w:p>
    <w:p w14:paraId="68258439" w14:textId="77777777" w:rsidR="003743EC" w:rsidRDefault="00000000">
      <w:pPr>
        <w:pStyle w:val="BodyText"/>
      </w:pPr>
      <w:r>
        <w:t xml:space="preserve">R9 is the round in which the </w:t>
      </w:r>
      <w:r>
        <w:rPr>
          <w:b/>
          <w:bCs/>
        </w:rPr>
        <w:t>JT Scaling Factor</w:t>
      </w:r>
      <w:r>
        <w:t xml:space="preserve"> reaches its maximum differentiation between teams. Teams that have consistently invested in HR across R1–R8 enter R9 with a significantly higher JT bonus than those that began HR investment only in R7 or R8. The design intent is explicitly to prevent “last-round cramming.”</w:t>
      </w:r>
    </w:p>
    <w:p w14:paraId="024E72ED" w14:textId="77777777" w:rsidR="003743EC" w:rsidRDefault="00000000">
      <w:pPr>
        <w:pStyle w:val="BodyText"/>
      </w:pPr>
      <w:r>
        <w:t xml:space="preserve">The ILO Just Transition framework (2015) defines just transition as a process that ensures the gains and costs of environmental action are shared equitably — that workers and communities in affected industries are not simply abandoned by a decarbonisation agenda that serves capital markets but not people. R9’s crisis directly embeds this: teams must decide not just </w:t>
      </w:r>
      <w:r>
        <w:rPr>
          <w:i/>
          <w:iCs/>
        </w:rPr>
        <w:t>whether</w:t>
      </w:r>
      <w:r>
        <w:t xml:space="preserve"> to transform their workforce but </w:t>
      </w:r>
      <w:r>
        <w:rPr>
          <w:i/>
          <w:iCs/>
        </w:rPr>
        <w:t>how</w:t>
      </w:r>
      <w:r>
        <w:t xml:space="preserve"> the transformation process is managed, whether affected communities are compensated, and whether the company’s social license is protected.</w:t>
      </w:r>
    </w:p>
    <w:p w14:paraId="169B9703" w14:textId="77777777" w:rsidR="003743EC" w:rsidRDefault="00000000">
      <w:pPr>
        <w:pStyle w:val="BodyText"/>
      </w:pPr>
      <w:r>
        <w:t xml:space="preserve">The Social Contract framing is important. Firms operating in communities are implicitly parties to a social contract — they receive licenses to operate, access to infrastructure, and community goodwill in exchange for employment, taxes, and socially acceptable behaviour. Workforce restructuring without adequate just transition measures violates this contract, triggering social license decline in affected BUs.</w:t>
      </w:r>
    </w:p>
    <w:p w14:paraId="69FD084F" w14:textId="77777777" w:rsidR="003743EC" w:rsidRDefault="00000000">
      <w:pPr>
        <w:pStyle w:val="BodyText"/>
      </w:pPr>
      <w:r>
        <w:rPr>
          <w:b/>
          <w:bCs/>
        </w:rPr>
        <w:lastRenderedPageBreak/>
        <w:t>Key Academic Anchors:</w:t>
      </w:r>
      <w:r>
        <w:t xml:space="preserve"> - ILO (2015) — Guidelines for a Just Transition - Becker (1964) — Human Capital Theory (HR investment compounding) - Rawls (1971) — Social Contract Theory - Carroll (1991) — Corporate Social Responsibility Pyramid</w:t>
      </w:r>
    </w:p>
    <w:p w14:paraId="2B34B4B6" w14:textId="77777777" w:rsidR="003743EC" w:rsidRDefault="00000000">
      <w:r>
        <w:pict w14:anchorId="2D4148C3">
          <v:rect id="_x0000_i1226" style="width:0;height:1.5pt" o:hralign="center" o:hrstd="t" o:hr="t"/>
        </w:pict>
      </w:r>
    </w:p>
    <w:p w14:paraId="2005872E" w14:textId="77777777" w:rsidR="003743EC" w:rsidRDefault="00000000">
      <w:pPr>
        <w:pStyle w:val="Heading3"/>
      </w:pPr>
      <w:bookmarkStart w:id="36" w:name="X634d3b5e5ee8d57a52c5b06b26bea422735b1f1"/>
      <w:bookmarkStart w:id="37" w:name="_Toc232946700"/>
      <w:bookmarkEnd w:id="34"/>
      <w:r>
        <w:t>Round 10 — Integration and Terminal Valuation</w:t>
      </w:r>
      <w:bookmarkEnd w:id="37"/>
    </w:p>
    <w:p w14:paraId="0F1FBA1E" w14:textId="77777777" w:rsidR="003743EC" w:rsidRDefault="00000000">
      <w:r>
        <w:rPr>
          <w:b/>
          <w:bCs/>
        </w:rPr>
        <w:t>Crisis Theme:</w:t>
      </w:r>
      <w:r>
        <w:t xml:space="preserve"> ESG Strategy Terminal Assessment</w:t>
      </w:r>
    </w:p>
    <w:p w14:paraId="4F33D289" w14:textId="77777777" w:rsidR="003743EC" w:rsidRDefault="00000000">
      <w:pPr>
        <w:pStyle w:val="BodyText"/>
      </w:pPr>
      <w:r>
        <w:rPr>
          <w:b/>
          <w:bCs/>
        </w:rPr>
        <w:t>Primary Learning Objectives:</w:t>
      </w:r>
      <w:r>
        <w:t xml:space="preserve"> - Integrate all prior ESG and financial decisions into a coherent strategic narrative - Understand Terminal Valuation as the financial manifestation of accumulated ESG strategy quality - Articulate the causal chain from ESG governance decisions to enterprise value creation - Demonstrate CEO-level synthesis competency in the CEO Interview assessment</w:t>
      </w:r>
    </w:p>
    <w:p w14:paraId="1220B01B" w14:textId="77777777" w:rsidR="003743EC" w:rsidRDefault="00000000">
      <w:pPr>
        <w:pStyle w:val="BodyText"/>
      </w:pPr>
      <w:r>
        <w:rPr>
          <w:b/>
          <w:bCs/>
        </w:rPr>
        <w:t>Design Rationale:</w:t>
      </w:r>
    </w:p>
    <w:p w14:paraId="0B10C996" w14:textId="77777777" w:rsidR="003743EC" w:rsidRDefault="00000000">
      <w:pPr>
        <w:pStyle w:val="BodyText"/>
      </w:pPr>
      <w:r>
        <w:t>R10 is the integration round. It introduces no new theoretical content — its purpose is to force participants to synthesise everything they have learned and experienced across R1–R9 into a coherent, defensible strategic account of their leadership decisions.</w:t>
      </w:r>
    </w:p>
    <w:p w14:paraId="1E1247CD" w14:textId="77777777" w:rsidR="003743EC" w:rsidRDefault="00000000">
      <w:pPr>
        <w:pStyle w:val="BodyText"/>
      </w:pPr>
      <w:r>
        <w:t>The Terminal Valuation formula is the financial culmination of all 10 rounds. It is sensitive to long-term ESG quality (captured in the M_R Regenerative Multiple) rather than short-term treasury optimisation. Teams that pursued financial maximisation at the expense of ESG metrics will find their Terminal Valuation depressed relative to teams that maintained balanced performance — the simulation’s terminal message being that in a 10-year horizon, ESG quality and enterprise value are not decoupled.</w:t>
      </w:r>
    </w:p>
    <w:p w14:paraId="3E5941D0" w14:textId="77777777" w:rsidR="003743EC" w:rsidRDefault="00000000">
      <w:pPr>
        <w:pStyle w:val="BodyText"/>
      </w:pPr>
      <w:r>
        <w:t>The CEO Interview in R10 is the assessment mechanism that most directly evaluates whether participants have genuinely learned or merely played. It requires them to articulate their strategic logic, acknowledge their failures, and explain what they would do differently — a competency that no multiple-choice assessment can capture.</w:t>
      </w:r>
    </w:p>
    <w:p w14:paraId="013EA733" w14:textId="7380869C" w:rsidR="003743EC" w:rsidRDefault="003743EC"/>
    <w:p w14:paraId="24B9158B" w14:textId="77777777" w:rsidR="00CE26CC" w:rsidRDefault="00CE26CC">
      <w:pPr>
        <w:pStyle w:val="Heading2"/>
        <w:sectPr w:rsidR="00CE26CC" w:rsidSect="0022200D">
          <w:pgSz w:w="12240" w:h="15840"/>
          <w:pgMar w:top="993" w:right="1467" w:bottom="1440" w:left="1800" w:header="720" w:footer="720" w:gutter="0"/>
          <w:cols w:space="720"/>
          <w:docGrid w:linePitch="360"/>
        </w:sectPr>
      </w:pPr>
      <w:bookmarkStart w:id="38" w:name="the-pedagogical-engine"/>
      <w:bookmarkStart w:id="39" w:name="_Toc232946701"/>
      <w:bookmarkEnd w:id="16"/>
      <w:bookmarkEnd w:id="36"/>
    </w:p>
    <w:p w14:paraId="5BA112D0" w14:textId="77777777" w:rsidR="003743EC" w:rsidRDefault="00000000">
      <w:pPr>
        <w:pStyle w:val="Heading2"/>
      </w:pPr>
      <w:r>
        <w:lastRenderedPageBreak/>
        <w:t>4. The Pedagogical Engine</w:t>
      </w:r>
      <w:bookmarkEnd w:id="39"/>
    </w:p>
    <w:p w14:paraId="4D5B93BF" w14:textId="77777777" w:rsidR="003743EC" w:rsidRDefault="00000000">
      <w:r>
        <w:t>The Pedagogical Engine (</w:t>
      </w:r>
      <w:r>
        <w:rPr>
          <w:rStyle w:val="VerbatimChar"/>
        </w:rPr>
        <w:t>pedagogical_engine.py</w:t>
      </w:r>
      <w:r>
        <w:t xml:space="preserve">) manages </w:t>
      </w:r>
      <w:r>
        <w:rPr>
          <w:b/>
          <w:bCs/>
        </w:rPr>
        <w:t>learning experience quality</w:t>
      </w:r>
      <w:r>
        <w:t xml:space="preserve"> across the player’s journey — separate from the simulation logic itself. It tracks whether learning milestones are being reached and triggers interventions when they are not.</w:t>
      </w:r>
    </w:p>
    <w:p w14:paraId="4D3FF80D" w14:textId="77777777" w:rsidR="003743EC" w:rsidRDefault="00000000">
      <w:pPr>
        <w:pStyle w:val="Heading3"/>
      </w:pPr>
      <w:bookmarkStart w:id="40" w:name="architecture"/>
      <w:bookmarkStart w:id="41" w:name="_Toc232946702"/>
      <w:r>
        <w:t>4.1 Architecture</w:t>
      </w:r>
      <w:bookmarkEnd w:id="41"/>
    </w:p>
    <w:p w14:paraId="2A1BF99E" w14:textId="77777777" w:rsidR="003743EC" w:rsidRDefault="00000000">
      <w:r>
        <w:t xml:space="preserve">The engine maintains a per-session learning progression record alongside the simulation state record. At the end of each round’s </w:t>
      </w:r>
      <w:r>
        <w:rPr>
          <w:rStyle w:val="VerbatimChar"/>
        </w:rPr>
        <w:t>process_tick()</w:t>
      </w:r>
      <w:r>
        <w:t>, the engine evaluates: - Whether any BRM (Board Room Moment) trigger conditions are met - Whether the CEO Diary needs to generate a personalised narrative entry - Whether the AI Podcast briefing should surface specific content variants based on the team’s decisions - Which Real World Parallels are most relevant to the team’s current trajectory</w:t>
      </w:r>
    </w:p>
    <w:p w14:paraId="0E43F5A6" w14:textId="77777777" w:rsidR="003743EC" w:rsidRDefault="00000000">
      <w:pPr>
        <w:pStyle w:val="Heading3"/>
      </w:pPr>
      <w:bookmarkStart w:id="42" w:name="board-room-moments-brm"/>
      <w:bookmarkStart w:id="43" w:name="_Toc232946703"/>
      <w:bookmarkEnd w:id="40"/>
      <w:r>
        <w:t>4.2 Board Room Moments (BRM)</w:t>
      </w:r>
      <w:bookmarkEnd w:id="43"/>
    </w:p>
    <w:p w14:paraId="60338D36" w14:textId="77777777" w:rsidR="003743EC" w:rsidRDefault="00000000">
      <w:r>
        <w:t>Board Room Moments are reflective interruptions triggered when the simulation detects that a team is in a pedagogically significant state. BRM trigger conditions:</w:t>
      </w:r>
    </w:p>
    <w:tbl>
      <w:tblPr>
        <w:tblW w:w="5000" w:type="pct"/>
        <w:tblLayout w:type="fixed"/>
        <w:tblLook w:val="0020" w:firstRow="1" w:lastRow="0" w:firstColumn="0" w:lastColumn="0" w:noHBand="0" w:noVBand="0"/>
      </w:tblPr>
      <w:tblGrid>
        <w:gridCol w:w="2518"/>
        <w:gridCol w:w="6338"/>
      </w:tblGrid>
      <w:tr w:rsidR="003743EC" w14:paraId="3727BF07" w14:textId="77777777" w:rsidTr="00456AF3">
        <w:trPr>
          <w:tblHeader/>
        </w:trPr>
        <w:tc>
          <w:tcPr>
            <w:tcW w:w="2518" w:type="dxa"/>
          </w:tcPr>
          <w:p w14:paraId="34BD3B64" w14:textId="77777777" w:rsidR="003743EC" w:rsidRDefault="00000000">
            <w:r>
              <w:t>Trigger</w:t>
            </w:r>
          </w:p>
        </w:tc>
        <w:tc>
          <w:tcPr>
            <w:tcW w:w="6338" w:type="dxa"/>
          </w:tcPr>
          <w:p w14:paraId="5A9C3EF2" w14:textId="77777777" w:rsidR="003743EC" w:rsidRDefault="00000000">
            <w:r>
              <w:t>Condition</w:t>
            </w:r>
          </w:p>
        </w:tc>
      </w:tr>
      <w:tr w:rsidR="003743EC" w14:paraId="1677402E" w14:textId="77777777" w:rsidTr="00456AF3">
        <w:tc>
          <w:tcPr>
            <w:tcW w:w="2518" w:type="dxa"/>
          </w:tcPr>
          <w:p w14:paraId="0AD845B7" w14:textId="77777777" w:rsidR="003743EC" w:rsidRDefault="00000000">
            <w:r>
              <w:t>Treasury Shock</w:t>
            </w:r>
          </w:p>
        </w:tc>
        <w:tc>
          <w:tcPr>
            <w:tcW w:w="6338" w:type="dxa"/>
          </w:tcPr>
          <w:p w14:paraId="25F72C9D" w14:textId="77777777" w:rsidR="003743EC" w:rsidRDefault="00000000">
            <w:r>
              <w:t>Treasury drops by more than 20% in a single round</w:t>
            </w:r>
          </w:p>
        </w:tc>
      </w:tr>
      <w:tr w:rsidR="003743EC" w14:paraId="24850E78" w14:textId="77777777" w:rsidTr="00456AF3">
        <w:tc>
          <w:tcPr>
            <w:tcW w:w="2518" w:type="dxa"/>
          </w:tcPr>
          <w:p w14:paraId="77E5E093" w14:textId="77777777" w:rsidR="003743EC" w:rsidRDefault="00000000">
            <w:r>
              <w:t>Reputation Crisis</w:t>
            </w:r>
          </w:p>
        </w:tc>
        <w:tc>
          <w:tcPr>
            <w:tcW w:w="6338" w:type="dxa"/>
          </w:tcPr>
          <w:p w14:paraId="48E56CA0" w14:textId="77777777" w:rsidR="003743EC" w:rsidRDefault="00000000">
            <w:r>
              <w:t>Group reputation falls below 40</w:t>
            </w:r>
          </w:p>
        </w:tc>
      </w:tr>
      <w:tr w:rsidR="003743EC" w14:paraId="7BDE3F5E" w14:textId="77777777" w:rsidTr="00456AF3">
        <w:tc>
          <w:tcPr>
            <w:tcW w:w="2518" w:type="dxa"/>
          </w:tcPr>
          <w:p w14:paraId="1F88CAFE" w14:textId="77777777" w:rsidR="003743EC" w:rsidRDefault="00000000">
            <w:r>
              <w:t>NCD Spike</w:t>
            </w:r>
          </w:p>
        </w:tc>
        <w:tc>
          <w:tcPr>
            <w:tcW w:w="6338" w:type="dxa"/>
          </w:tcPr>
          <w:p w14:paraId="5DE02AFE" w14:textId="77777777" w:rsidR="003743EC" w:rsidRDefault="00000000">
            <w:r>
              <w:t>Natural Capital Debt increases by more than 50% in a single round</w:t>
            </w:r>
          </w:p>
        </w:tc>
      </w:tr>
      <w:tr w:rsidR="003743EC" w14:paraId="5B812426" w14:textId="77777777" w:rsidTr="00456AF3">
        <w:tc>
          <w:tcPr>
            <w:tcW w:w="2518" w:type="dxa"/>
          </w:tcPr>
          <w:p w14:paraId="1831E4F9" w14:textId="77777777" w:rsidR="003743EC" w:rsidRDefault="00000000">
            <w:r>
              <w:t>Black Swan Follow-On</w:t>
            </w:r>
          </w:p>
        </w:tc>
        <w:tc>
          <w:tcPr>
            <w:tcW w:w="6338" w:type="dxa"/>
          </w:tcPr>
          <w:p w14:paraId="4D29E69E" w14:textId="77777777" w:rsidR="003743EC" w:rsidRDefault="00000000">
            <w:r>
              <w:t>A Black Swan fires in a session that has already had a prior Black Swan</w:t>
            </w:r>
          </w:p>
        </w:tc>
      </w:tr>
      <w:tr w:rsidR="003743EC" w14:paraId="65E3A624" w14:textId="77777777" w:rsidTr="00456AF3">
        <w:tc>
          <w:tcPr>
            <w:tcW w:w="2518" w:type="dxa"/>
          </w:tcPr>
          <w:p w14:paraId="04549D1A" w14:textId="77777777" w:rsidR="003743EC" w:rsidRDefault="00000000">
            <w:r>
              <w:t>R4 Cascade</w:t>
            </w:r>
          </w:p>
        </w:tc>
        <w:tc>
          <w:tcPr>
            <w:tcW w:w="6338" w:type="dxa"/>
          </w:tcPr>
          <w:p w14:paraId="3D1B9303" w14:textId="77777777" w:rsidR="003743EC" w:rsidRDefault="00000000">
            <w:r>
              <w:t xml:space="preserve">The </w:t>
            </w:r>
            <w:r>
              <w:rPr>
                <w:rStyle w:val="VerbatimChar"/>
              </w:rPr>
              <w:t>electronics_blindspot</w:t>
            </w:r>
            <w:r>
              <w:t xml:space="preserve"> flag crystallises (always triggers BRM)</w:t>
            </w:r>
          </w:p>
        </w:tc>
      </w:tr>
    </w:tbl>
    <w:p w14:paraId="69699AED" w14:textId="77777777" w:rsidR="003743EC" w:rsidRDefault="00000000">
      <w:pPr>
        <w:pStyle w:val="BodyText"/>
      </w:pPr>
      <w:r>
        <w:t xml:space="preserve">When a BRM is triggered, the facilitator interface is alerted and a structured reflection prompt is surfaced to the team. </w:t>
      </w:r>
      <w:r>
        <w:rPr>
          <w:b/>
          <w:bCs/>
        </w:rPr>
        <w:t>BRM prompts are designed following Moon’s (2004) Reflective Practice framework</w:t>
      </w:r>
      <w:r>
        <w:t xml:space="preserve"> — they ask for root cause analysis rather than symptom description.</w:t>
      </w:r>
    </w:p>
    <w:p w14:paraId="13696CDD" w14:textId="77777777" w:rsidR="003743EC" w:rsidRDefault="00000000">
      <w:pPr>
        <w:pStyle w:val="BodyText"/>
      </w:pPr>
      <w:r>
        <w:t xml:space="preserve">A poor BRM prompt (symptom-level): </w:t>
      </w:r>
      <w:r>
        <w:rPr>
          <w:i/>
          <w:iCs/>
        </w:rPr>
        <w:t>“Your treasury fell sharply this round. What happened?”</w:t>
      </w:r>
    </w:p>
    <w:p w14:paraId="4E8209F0" w14:textId="77777777" w:rsidR="003743EC" w:rsidRDefault="00000000">
      <w:pPr>
        <w:pStyle w:val="BodyText"/>
      </w:pPr>
      <w:r>
        <w:t xml:space="preserve">A well-designed BRM prompt (root-cause, Moon-aligned): </w:t>
      </w:r>
      <w:r>
        <w:rPr>
          <w:i/>
          <w:iCs/>
        </w:rPr>
        <w:t>“Your treasury has fallen by 22% this round. Before you look at this round’s decisions, trace back to the earliest decision in your session that created the conditions for this outcome. What assumption were you making at that point?”</w:t>
      </w:r>
    </w:p>
    <w:p w14:paraId="6DC42A1B" w14:textId="77777777" w:rsidR="003743EC" w:rsidRDefault="00000000">
      <w:pPr>
        <w:pStyle w:val="BodyText"/>
      </w:pPr>
      <w:r>
        <w:t>Moon (2004) distinguishes between surface-level reflection (description of events) and deep reflection (examination of the assumptions and frames that produced those events). The BRM system is explicitly designed to produce the latter.</w:t>
      </w:r>
    </w:p>
    <w:p w14:paraId="1990398F" w14:textId="77777777" w:rsidR="003743EC" w:rsidRDefault="00000000">
      <w:pPr>
        <w:pStyle w:val="Heading3"/>
      </w:pPr>
      <w:bookmarkStart w:id="44" w:name="the-ceo-diary-ceo_diary.py"/>
      <w:bookmarkStart w:id="45" w:name="_Toc232946704"/>
      <w:bookmarkEnd w:id="42"/>
      <w:r>
        <w:t>4.3 The CEO Diary (</w:t>
      </w:r>
      <w:r>
        <w:rPr>
          <w:rStyle w:val="VerbatimChar"/>
        </w:rPr>
        <w:t>ceo_diary.py</w:t>
      </w:r>
      <w:r>
        <w:t>)</w:t>
      </w:r>
      <w:bookmarkEnd w:id="45"/>
    </w:p>
    <w:p w14:paraId="4CFCDE38" w14:textId="77777777" w:rsidR="003743EC" w:rsidRDefault="00000000">
      <w:r>
        <w:t>The CEO Diary generates a personalised narrative commentary after each round, written from the perspective of the team’s CEO character. It uses the session’s specific decisions, outcomes, and flag states to produce a contextualised narrative that makes the financial and ESG consequences emotionally legible.</w:t>
      </w:r>
    </w:p>
    <w:p w14:paraId="1BE5D7D2" w14:textId="77777777" w:rsidR="003743EC" w:rsidRDefault="00000000">
      <w:pPr>
        <w:pStyle w:val="BodyText"/>
      </w:pPr>
      <w:r>
        <w:lastRenderedPageBreak/>
        <w:t xml:space="preserve">The diary bridges the gap between </w:t>
      </w:r>
      <w:r>
        <w:rPr>
          <w:b/>
          <w:bCs/>
        </w:rPr>
        <w:t>data</w:t>
      </w:r>
      <w:r>
        <w:t xml:space="preserve"> (treasury dropped $2.5M, NCD rose 12%) and </w:t>
      </w:r>
      <w:r>
        <w:rPr>
          <w:b/>
          <w:bCs/>
        </w:rPr>
        <w:t>meaning</w:t>
      </w:r>
      <w:r>
        <w:t xml:space="preserve"> (what does this mean for this organisation’s trajectory, and who is responsible?). This bridge is essential for the Reflective Observation stage of the Kolb cycle — participants cannot reflect meaningfully on numbers without a narrative frame.</w:t>
      </w:r>
    </w:p>
    <w:p w14:paraId="5B956615" w14:textId="77777777" w:rsidR="003743EC" w:rsidRDefault="00000000">
      <w:pPr>
        <w:pStyle w:val="Heading3"/>
      </w:pPr>
      <w:bookmarkStart w:id="46" w:name="the-ai-podcast-dual-perspective-design"/>
      <w:bookmarkStart w:id="47" w:name="_Toc232946705"/>
      <w:bookmarkEnd w:id="44"/>
      <w:r>
        <w:t>4.4 The AI Podcast — Dual Perspective Design</w:t>
      </w:r>
      <w:bookmarkEnd w:id="47"/>
    </w:p>
    <w:p w14:paraId="0D7A28D2" w14:textId="77777777" w:rsidR="003743EC" w:rsidRDefault="00000000">
      <w:r>
        <w:t xml:space="preserve">The AI Podcast features two recurring voices: - </w:t>
      </w:r>
      <w:r>
        <w:rPr>
          <w:b/>
          <w:bCs/>
        </w:rPr>
        <w:t>Priya Sharma</w:t>
      </w:r>
      <w:r>
        <w:t xml:space="preserve"> — the finance lens. An investment analyst perspective focused on capital markets, WACC, ESG ratings, investor expectations, and financial risk. - </w:t>
      </w:r>
      <w:r>
        <w:rPr>
          <w:b/>
          <w:bCs/>
        </w:rPr>
        <w:t>Prof. James Walker</w:t>
      </w:r>
      <w:r>
        <w:t xml:space="preserve"> — the sustainability lens. An academic sustainability perspective focused on ecological systems, stakeholder obligations, long-horizon thinking, and regulatory trends.</w:t>
      </w:r>
    </w:p>
    <w:p w14:paraId="227CB710" w14:textId="77777777" w:rsidR="003743EC" w:rsidRDefault="00000000">
      <w:pPr>
        <w:pStyle w:val="BodyText"/>
      </w:pPr>
      <w:r>
        <w:t xml:space="preserve">This dual-voice design embeds a </w:t>
      </w:r>
      <w:r>
        <w:rPr>
          <w:b/>
          <w:bCs/>
        </w:rPr>
        <w:t>perspectival tension</w:t>
      </w:r>
      <w:r>
        <w:t xml:space="preserve"> into every round’s briefing: Priya and Prof. Walker frequently disagree about the right interpretation of the same data. The simulation’s pedagogical aspiration is for participants to hold both perspectives simultaneously and navigate between them — not to choose one and ignore the other. This is the definitional capacity of a sophisticated ESG leader.</w:t>
      </w:r>
    </w:p>
    <w:p w14:paraId="2587B230" w14:textId="77777777" w:rsidR="003743EC" w:rsidRDefault="00000000">
      <w:pPr>
        <w:pStyle w:val="BodyText"/>
      </w:pPr>
      <w:r>
        <w:t>The podcast content adapts to the team’s specific decisions. A team that selected the deferral option in R3 will hear Priya and Prof. Walker discuss the long-term financial cost of Scope 3 deferral — not the generic script. This personalisation increases the relevance of the Abstract Conceptualisation stage.</w:t>
      </w:r>
    </w:p>
    <w:p w14:paraId="61CB98F4" w14:textId="77777777" w:rsidR="003743EC" w:rsidRDefault="00000000">
      <w:pPr>
        <w:pStyle w:val="Heading3"/>
      </w:pPr>
      <w:bookmarkStart w:id="48" w:name="X72dabf1e619fef9652720bbeeef6d735e88ca78"/>
      <w:bookmarkStart w:id="49" w:name="_Toc232946706"/>
      <w:bookmarkEnd w:id="46"/>
      <w:r>
        <w:t>4.5 Real World Parallels (</w:t>
      </w:r>
      <w:r>
        <w:rPr>
          <w:rStyle w:val="VerbatimChar"/>
        </w:rPr>
        <w:t>real_world_parallels.py</w:t>
      </w:r>
      <w:r>
        <w:t>)</w:t>
      </w:r>
      <w:bookmarkEnd w:id="49"/>
    </w:p>
    <w:p w14:paraId="5AB7A759" w14:textId="77777777" w:rsidR="003743EC" w:rsidRDefault="00000000">
      <w:r>
        <w:t>After each round, the system surfaces 1–3 real-world corporate case studies structurally analogous to the team’s decisions and outcomes. The parallel is chosen based on decision type, outcome polarity (success or failure), and paradigm.</w:t>
      </w:r>
    </w:p>
    <w:p w14:paraId="529BF1F3" w14:textId="77777777" w:rsidR="003743EC" w:rsidRDefault="00000000">
      <w:pPr>
        <w:pStyle w:val="BodyText"/>
      </w:pPr>
      <w:r>
        <w:t>Examples: - A team that selected the greenwashing-triggering option in any round receives the H&amp;M greenwashing scandal parallel. - A team with strong NCD compounding receives the Vale dam collapse parallel (natural capital liability crystallisation). - A team that activated the Shadow Board in R5 receives the Unilever sustainability governance parallel.</w:t>
      </w:r>
    </w:p>
    <w:p w14:paraId="439DD157" w14:textId="77777777" w:rsidR="003743EC" w:rsidRDefault="00000000">
      <w:pPr>
        <w:pStyle w:val="BodyText"/>
      </w:pPr>
      <w:r>
        <w:t xml:space="preserve">The pedagogical intent is to move participants from the simulation’s </w:t>
      </w:r>
      <w:r>
        <w:rPr>
          <w:i/>
          <w:iCs/>
        </w:rPr>
        <w:t>artificial</w:t>
      </w:r>
      <w:r>
        <w:t xml:space="preserve"> world to the </w:t>
      </w:r>
      <w:r>
        <w:rPr>
          <w:i/>
          <w:iCs/>
        </w:rPr>
        <w:t>real</w:t>
      </w:r>
      <w:r>
        <w:t xml:space="preserve"> world, demonstrating that the dynamics they experienced are genuine governance phenomena that have played out in actual organisations.</w:t>
      </w:r>
    </w:p>
    <w:p w14:paraId="1874DD2F" w14:textId="6B7C4D89" w:rsidR="003743EC" w:rsidRDefault="003743EC"/>
    <w:p w14:paraId="1AB76B05" w14:textId="77777777" w:rsidR="00CE26CC" w:rsidRDefault="00CE26CC">
      <w:pPr>
        <w:pStyle w:val="Heading2"/>
        <w:sectPr w:rsidR="00CE26CC" w:rsidSect="005A7B8D">
          <w:pgSz w:w="12240" w:h="15840"/>
          <w:pgMar w:top="993" w:right="1800" w:bottom="1440" w:left="1800" w:header="720" w:footer="720" w:gutter="0"/>
          <w:cols w:space="720"/>
          <w:docGrid w:linePitch="360"/>
        </w:sectPr>
      </w:pPr>
      <w:bookmarkStart w:id="50" w:name="Xdb81095ce2e971f2f02efabc97deba35f118d51"/>
      <w:bookmarkStart w:id="51" w:name="_Toc232946707"/>
      <w:bookmarkEnd w:id="38"/>
      <w:bookmarkEnd w:id="48"/>
    </w:p>
    <w:p w14:paraId="56562119" w14:textId="77777777" w:rsidR="003743EC" w:rsidRDefault="00000000">
      <w:pPr>
        <w:pStyle w:val="Heading2"/>
      </w:pPr>
      <w:r>
        <w:lastRenderedPageBreak/>
        <w:t>5. The Flag System as a Learning Design Tool</w:t>
      </w:r>
      <w:bookmarkEnd w:id="51"/>
    </w:p>
    <w:p w14:paraId="4140B1CB" w14:textId="77777777" w:rsidR="003743EC" w:rsidRDefault="00000000">
      <w:pPr>
        <w:pStyle w:val="Heading3"/>
      </w:pPr>
      <w:bookmarkStart w:id="52" w:name="design-purpose"/>
      <w:bookmarkStart w:id="53" w:name="_Toc232946708"/>
      <w:r>
        <w:t>5.1 Design Purpose</w:t>
      </w:r>
      <w:bookmarkEnd w:id="53"/>
    </w:p>
    <w:p w14:paraId="69F1A04B" w14:textId="77777777" w:rsidR="003743EC" w:rsidRDefault="00000000">
      <w:r>
        <w:t xml:space="preserve">The cross-round flag system is the primary mechanism through which the simulation creates </w:t>
      </w:r>
      <w:r>
        <w:rPr>
          <w:b/>
          <w:bCs/>
        </w:rPr>
        <w:t>consequential learning</w:t>
      </w:r>
      <w:r>
        <w:t xml:space="preserve"> — a state in which participants viscerally experience the downstream effects of their earlier decisions, rather than merely reading about them in a case study.</w:t>
      </w:r>
    </w:p>
    <w:p w14:paraId="759F5E7F" w14:textId="77777777" w:rsidR="003743EC" w:rsidRDefault="00000000">
      <w:pPr>
        <w:pStyle w:val="BodyText"/>
      </w:pPr>
      <w:r>
        <w:t xml:space="preserve">Consequential learning is pedagogically superior to informational learning for the development of executive judgment. Reading that “inadequate stakeholder mapping creates downstream governance liability” conveys a proposition. </w:t>
      </w:r>
      <w:r>
        <w:rPr>
          <w:i/>
          <w:iCs/>
        </w:rPr>
        <w:t>Experiencing</w:t>
      </w:r>
      <w:r>
        <w:t xml:space="preserve"> that inadequate stakeholder mapping in R1 creates a material liability in R4 that constrains strategic options in R7 develops a judgment capacity that cannot be transferred through reading alone.</w:t>
      </w:r>
    </w:p>
    <w:p w14:paraId="7DF914A3" w14:textId="77777777" w:rsidR="003743EC" w:rsidRDefault="00000000">
      <w:pPr>
        <w:pStyle w:val="Heading3"/>
      </w:pPr>
      <w:bookmarkStart w:id="54" w:name="the-3-round-delay-principle"/>
      <w:bookmarkStart w:id="55" w:name="_Toc232946709"/>
      <w:bookmarkEnd w:id="52"/>
      <w:r>
        <w:t>5.2 The 3-Round Delay Principle</w:t>
      </w:r>
      <w:bookmarkEnd w:id="55"/>
    </w:p>
    <w:p w14:paraId="57999DA3" w14:textId="77777777" w:rsidR="003743EC" w:rsidRDefault="00000000">
      <w:r>
        <w:t>The intentional 3-round delay between flag setting and its primary consequence (R1 to R4) is calibrated to mirror real corporate governance timescales. In actual organisations, inadequate due diligence decisions typically take 2–5 years to manifest as material liabilities. A round in the simulation represents approximately one year of corporate time.</w:t>
      </w:r>
    </w:p>
    <w:p w14:paraId="3B4149C3" w14:textId="77777777" w:rsidR="003743EC" w:rsidRDefault="00000000">
      <w:pPr>
        <w:pStyle w:val="BodyText"/>
      </w:pPr>
      <w:r>
        <w:t xml:space="preserve">Three rounds is the minimum delay required to: 1. Ensure participants have had enough experience with the simulation to forget the specific wording of their R1 decision (making the R4 revelation genuinely surprising rather than mechanically predictable) 2. Ensure the cascade feels like a real consequence rather than an artificial punitive mechanic 3. Create a realistic governance timescale that facilitators can reference in debrief</w:t>
      </w:r>
    </w:p>
    <w:p w14:paraId="52B7859F" w14:textId="77777777" w:rsidR="003743EC" w:rsidRDefault="00000000">
      <w:pPr>
        <w:pStyle w:val="Heading3"/>
      </w:pPr>
      <w:bookmarkStart w:id="56" w:name="X78b8d71539fd110d547d39196b3dda3c6ebd554"/>
      <w:bookmarkStart w:id="57" w:name="_Toc232946710"/>
      <w:bookmarkEnd w:id="54"/>
      <w:r>
        <w:t>5.3 Foreshadowing KPIs — Teaching Early Warning Signal Reading</w:t>
      </w:r>
      <w:bookmarkEnd w:id="57"/>
    </w:p>
    <w:p w14:paraId="658DFF0C" w14:textId="77777777" w:rsidR="003743EC" w:rsidRDefault="00000000">
      <w:r>
        <w:t xml:space="preserve">From Round 5 onwards, the dashboard reveals </w:t>
      </w:r>
      <w:r>
        <w:rPr>
          <w:b/>
          <w:bCs/>
        </w:rPr>
        <w:t>Foreshadowing KPIs</w:t>
      </w:r>
      <w:r>
        <w:t>: leading indicators of the session’s pathway consequences that will crystallise in R8–R10. These are visible in the dashboard data but are not explained to participants — they must infer their significance.</w:t>
      </w:r>
    </w:p>
    <w:p w14:paraId="137E6AD8" w14:textId="77777777" w:rsidR="003743EC" w:rsidRDefault="00000000">
      <w:pPr>
        <w:pStyle w:val="BodyText"/>
      </w:pPr>
      <w:r>
        <w:t>This is designed to teach a specific executive skill: the ability to read early-warning signals in operational and financial data before they become crises. Participants who learn to interpret foreshadowing KPIs correctly will be better positioned in R7–R10. Those who ignore them will encounter their pathway’s consequences without preparation.</w:t>
      </w:r>
    </w:p>
    <w:p w14:paraId="73D5A121" w14:textId="77777777" w:rsidR="003743EC" w:rsidRDefault="00000000">
      <w:pPr>
        <w:pStyle w:val="BodyText"/>
      </w:pPr>
      <w:r>
        <w:t>In debrief, facilitators should ask: “When did the data first signal the direction you ended up in? What would you need to have done differently to have acted on that signal earlier?”</w:t>
      </w:r>
    </w:p>
    <w:p w14:paraId="659365D3" w14:textId="77777777" w:rsidR="003743EC" w:rsidRDefault="00000000">
      <w:pPr>
        <w:pStyle w:val="Heading3"/>
      </w:pPr>
      <w:bookmarkStart w:id="58" w:name="X317d268d4c8261914fb1e8ddb335936f6e177c1"/>
      <w:bookmarkStart w:id="59" w:name="_Toc232946711"/>
      <w:bookmarkEnd w:id="56"/>
      <w:r>
        <w:t>5.4 Pathway Concealment — Modelling Strategic Uncertainty</w:t>
      </w:r>
      <w:bookmarkEnd w:id="59"/>
    </w:p>
    <w:p w14:paraId="62B62CC9" w14:textId="77777777" w:rsidR="003743EC" w:rsidRDefault="00000000">
      <w:r>
        <w:t>The session’s ending pathway is seeded at session creation but hidden from players until R5 foreshadowing begins. This models a fundamental feature of real strategy: the future is not known in advance, and governance decisions must be made without certainty about which scenario will eventually materialise.</w:t>
      </w:r>
    </w:p>
    <w:p w14:paraId="01E112C2" w14:textId="77777777" w:rsidR="003743EC" w:rsidRDefault="00000000">
      <w:pPr>
        <w:pStyle w:val="BodyText"/>
      </w:pPr>
      <w:r>
        <w:t>Pathway concealment also prevents participants from “reverse-engineering” their decisions to optimise for a known ending — which would transform the simulation from a genuine decision-under-uncertainty exercise into a puzzle-solving exercise. The pedagogical distinction is significant: puzzles develop tactical cleverness; decisions under uncertainty develop executive judgment.</w:t>
      </w:r>
    </w:p>
    <w:p w14:paraId="2A563328" w14:textId="77777777" w:rsidR="00CE26CC" w:rsidRDefault="00CE26CC">
      <w:pPr>
        <w:pStyle w:val="Heading2"/>
        <w:sectPr w:rsidR="00CE26CC" w:rsidSect="005A7B8D">
          <w:pgSz w:w="12240" w:h="15840"/>
          <w:pgMar w:top="993" w:right="1800" w:bottom="1440" w:left="1800" w:header="720" w:footer="720" w:gutter="0"/>
          <w:cols w:space="720"/>
          <w:docGrid w:linePitch="360"/>
        </w:sectPr>
      </w:pPr>
      <w:bookmarkStart w:id="60" w:name="X1c2010ae2bdf763a7cf7ceaf389abc474a20217"/>
      <w:bookmarkStart w:id="61" w:name="_Toc232946712"/>
      <w:bookmarkEnd w:id="50"/>
      <w:bookmarkEnd w:id="58"/>
    </w:p>
    <w:p w14:paraId="401E43FC" w14:textId="77777777" w:rsidR="003743EC" w:rsidRDefault="00000000">
      <w:pPr>
        <w:pStyle w:val="Heading2"/>
      </w:pPr>
      <w:r>
        <w:lastRenderedPageBreak/>
        <w:t>6. The JT Scaling Factor — Learning Design Rationale</w:t>
      </w:r>
      <w:bookmarkEnd w:id="61"/>
    </w:p>
    <w:p w14:paraId="6422FBCD" w14:textId="77777777" w:rsidR="003743EC" w:rsidRDefault="00000000">
      <w:pPr>
        <w:pStyle w:val="Heading3"/>
      </w:pPr>
      <w:bookmarkStart w:id="62" w:name="formula"/>
      <w:bookmarkStart w:id="63" w:name="_Toc232946713"/>
      <w:r>
        <w:t>6.1 Formula</w:t>
      </w:r>
      <w:bookmarkEnd w:id="63"/>
    </w:p>
    <w:p w14:paraId="2D22DED6" w14:textId="77777777" w:rsidR="003743EC" w:rsidRDefault="00000000">
      <w:pPr>
        <w:pStyle w:val="SourceCode"/>
      </w:pPr>
      <w:r>
        <w:rPr>
          <w:rStyle w:val="VerbatimChar"/>
        </w:rPr>
        <w:t xml:space="preserve">JT_factor = min(1.5, 1.0 + HR_investment_rounds x 0.10)</w:t>
      </w:r>
    </w:p>
    <w:p w14:paraId="2DCB78C8" w14:textId="77777777" w:rsidR="003743EC" w:rsidRDefault="00000000">
      <w:r>
        <w:t xml:space="preserve">Where </w:t>
      </w:r>
      <w:r>
        <w:rPr>
          <w:rStyle w:val="VerbatimChar"/>
        </w:rPr>
        <w:t>HR_investment_rounds</w:t>
      </w:r>
      <w:r>
        <w:t xml:space="preserve"> is the count of rounds (R1–R9) in which the team elected the HR investment option.</w:t>
      </w:r>
    </w:p>
    <w:p w14:paraId="71E55D9B" w14:textId="77777777" w:rsidR="003743EC" w:rsidRDefault="00000000">
      <w:pPr>
        <w:pStyle w:val="Heading3"/>
      </w:pPr>
      <w:bookmarkStart w:id="64" w:name="X2ea5101214941eae993e35b774901e613cfaf8e"/>
      <w:bookmarkStart w:id="65" w:name="_Toc232946714"/>
      <w:bookmarkEnd w:id="62"/>
      <w:r>
        <w:t>6.2 Design Rationale — Against Last-Round Cramming</w:t>
      </w:r>
      <w:bookmarkEnd w:id="65"/>
    </w:p>
    <w:p w14:paraId="0744F20E" w14:textId="77777777" w:rsidR="003743EC" w:rsidRDefault="00000000">
      <w:r>
        <w:t>The JT Scaling Factor is explicitly designed to prevent the “last-round cramming” behaviour that is endemic in simulation-based assessments when participants discover, late in the experience, that a particular variable matters.</w:t>
      </w:r>
    </w:p>
    <w:p w14:paraId="7B06C88B" w14:textId="77777777" w:rsidR="003743EC" w:rsidRDefault="00000000">
      <w:pPr>
        <w:pStyle w:val="BodyText"/>
      </w:pPr>
      <w:r>
        <w:t>If HR investment were a linear bonus applied only in the round it was made, participants would rationally defer all HR investment until R9 (maximum payoff, minimum cost). This would be financially rational but pedagogically dishonest — it would reward tactical arbitrage of the simulation’s mechanics rather than the genuine learning the simulation is designed to produce.</w:t>
      </w:r>
    </w:p>
    <w:p w14:paraId="4E4864F2" w14:textId="77777777" w:rsidR="003743EC" w:rsidRDefault="00000000">
      <w:pPr>
        <w:pStyle w:val="BodyText"/>
      </w:pPr>
      <w:r>
        <w:t>The compound formula means that investing in HR across R1–R9 consistently produces a JT_factor of 1.5 (maximum bonus), while investing only in R9 produces 1.1 (10% bonus). The full bonus requires sustained commitment across the session arc.</w:t>
      </w:r>
    </w:p>
    <w:p w14:paraId="4A5579D8" w14:textId="77777777" w:rsidR="003743EC" w:rsidRDefault="00000000">
      <w:pPr>
        <w:pStyle w:val="Heading3"/>
      </w:pPr>
      <w:bookmarkStart w:id="66" w:name="modelling-real-world-hr-capital-theory"/>
      <w:bookmarkStart w:id="67" w:name="_Toc232946715"/>
      <w:bookmarkEnd w:id="64"/>
      <w:r>
        <w:t>6.3 Modelling Real-World HR Capital Theory</w:t>
      </w:r>
      <w:bookmarkEnd w:id="67"/>
    </w:p>
    <w:p w14:paraId="4C303CD1" w14:textId="77777777" w:rsidR="003743EC" w:rsidRDefault="00000000">
      <w:r>
        <w:t xml:space="preserve">This formula is grounded in </w:t>
      </w:r>
      <w:r>
        <w:rPr>
          <w:b/>
          <w:bCs/>
        </w:rPr>
        <w:t>Becker’s (1964) Human Capital Theory</w:t>
      </w:r>
      <w:r>
        <w:t xml:space="preserve">: investment in human capital produces returns that compound over time, and early investment produces greater cumulative returns than late investment. A company that invests in workforce upskilling over five years will have a more capable workforce than one that spends the same total amount in year five — because the earlier investments had time to compound through learning, knowledge transfer, and cultural change.</w:t>
      </w:r>
    </w:p>
    <w:p w14:paraId="719A0699" w14:textId="77777777" w:rsidR="003743EC" w:rsidRDefault="00000000">
      <w:pPr>
        <w:pStyle w:val="BodyText"/>
      </w:pPr>
      <w:r>
        <w:t>The JT_factor models this empirical finding. It is also grounded in the Just Transition literature (ILO, 2015): organisations that build genuine workforce transition capability incrementally are more successful in managing just transitions than those that attempt rapid late-stage workforce transformation.</w:t>
      </w:r>
    </w:p>
    <w:p w14:paraId="3CFC1245" w14:textId="77777777" w:rsidR="003743EC" w:rsidRDefault="00000000">
      <w:pPr>
        <w:pStyle w:val="Heading3"/>
      </w:pPr>
      <w:bookmarkStart w:id="68" w:name="facilitator-communication"/>
      <w:bookmarkStart w:id="69" w:name="_Toc232946716"/>
      <w:bookmarkEnd w:id="66"/>
      <w:r>
        <w:t>6.4 Facilitator Communication</w:t>
      </w:r>
      <w:bookmarkEnd w:id="69"/>
    </w:p>
    <w:p w14:paraId="2D55B01E" w14:textId="77777777" w:rsidR="003743EC" w:rsidRDefault="00000000">
      <w:r>
        <w:t xml:space="preserve">Facilitators should </w:t>
      </w:r>
      <w:r>
        <w:rPr>
          <w:b/>
          <w:bCs/>
        </w:rPr>
        <w:t>not</w:t>
      </w:r>
      <w:r>
        <w:t xml:space="preserve"> explain the JT_factor formula to participants before they encounter it. The discovery that their R9 outcome is constrained by their cross-round HR investment pattern should happen organically, in debrief. The question “Why did our JT score end up lower than Team A’s even though we invested in HR in R9?” is a pedagogically rich moment that should be facilitated rather than pre-empted.</w:t>
      </w:r>
    </w:p>
    <w:p w14:paraId="4B523A93" w14:textId="47F550D6" w:rsidR="003743EC" w:rsidRDefault="003743EC"/>
    <w:p w14:paraId="292AEA46" w14:textId="77777777" w:rsidR="00CE26CC" w:rsidRDefault="00CE26CC">
      <w:pPr>
        <w:pStyle w:val="Heading2"/>
        <w:sectPr w:rsidR="00CE26CC" w:rsidSect="005A7B8D">
          <w:pgSz w:w="12240" w:h="15840"/>
          <w:pgMar w:top="993" w:right="1800" w:bottom="1440" w:left="1800" w:header="720" w:footer="720" w:gutter="0"/>
          <w:cols w:space="720"/>
          <w:docGrid w:linePitch="360"/>
        </w:sectPr>
      </w:pPr>
      <w:bookmarkStart w:id="70" w:name="assessment-design"/>
      <w:bookmarkStart w:id="71" w:name="_Toc232946717"/>
      <w:bookmarkEnd w:id="60"/>
      <w:bookmarkEnd w:id="68"/>
    </w:p>
    <w:p w14:paraId="2C9E04C7" w14:textId="77777777" w:rsidR="003743EC" w:rsidRDefault="00000000">
      <w:pPr>
        <w:pStyle w:val="Heading2"/>
      </w:pPr>
      <w:r>
        <w:lastRenderedPageBreak/>
        <w:t>7. Assessment Design</w:t>
      </w:r>
      <w:bookmarkEnd w:id="71"/>
    </w:p>
    <w:p w14:paraId="452A04EF" w14:textId="77777777" w:rsidR="003743EC" w:rsidRDefault="00000000">
      <w:pPr>
        <w:pStyle w:val="Heading3"/>
      </w:pPr>
      <w:bookmarkStart w:id="72" w:name="terminal-valuation-the-financial-score"/>
      <w:bookmarkStart w:id="73" w:name="_Toc232946718"/>
      <w:r>
        <w:t>7.1 Terminal Valuation — The Financial Score</w:t>
      </w:r>
      <w:bookmarkEnd w:id="73"/>
    </w:p>
    <w:p w14:paraId="780C18F7" w14:textId="77777777" w:rsidR="003743EC" w:rsidRDefault="00000000">
      <w:r>
        <w:t>The Terminal Valuation is the simulation’s financial output metric. It represents the estimated enterprise value of the group at the end of R10, calculated as a function of:</w:t>
      </w:r>
    </w:p>
    <w:p w14:paraId="0326BB43" w14:textId="77777777" w:rsidR="003743EC" w:rsidRDefault="00000000">
      <w:pPr>
        <w:numPr>
          <w:ilvl w:val="0"/>
          <w:numId w:val="16"/>
        </w:numPr>
      </w:pPr>
      <w:r>
        <w:t>Final treasury balance</w:t>
      </w:r>
    </w:p>
    <w:p w14:paraId="7FEAB2CE" w14:textId="77777777" w:rsidR="003743EC" w:rsidRDefault="00000000">
      <w:pPr>
        <w:numPr>
          <w:ilvl w:val="0"/>
          <w:numId w:val="16"/>
        </w:numPr>
      </w:pPr>
      <w:r>
        <w:t>Revenue trajectory (compounded across rounds)</w:t>
      </w:r>
    </w:p>
    <w:p w14:paraId="69DA9540" w14:textId="77777777" w:rsidR="003743EC" w:rsidRDefault="00000000">
      <w:pPr>
        <w:numPr>
          <w:ilvl w:val="0"/>
          <w:numId w:val="16"/>
        </w:numPr>
      </w:pPr>
      <w:r>
        <w:t>Cost of capital (inversely affected by poor ESG performance)</w:t>
      </w:r>
    </w:p>
    <w:p w14:paraId="019CB84E" w14:textId="77777777" w:rsidR="003743EC" w:rsidRDefault="00000000">
      <w:pPr>
        <w:numPr>
          <w:ilvl w:val="0"/>
          <w:numId w:val="16"/>
        </w:numPr>
      </w:pPr>
      <w:r>
        <w:t xml:space="preserve">The </w:t>
      </w:r>
      <w:r>
        <w:rPr>
          <w:b/>
          <w:bCs/>
        </w:rPr>
        <w:t>Regenerative Multiple (M_R)</w:t>
      </w:r>
    </w:p>
    <w:p w14:paraId="74574C11" w14:textId="77777777" w:rsidR="003743EC" w:rsidRDefault="00000000">
      <w:r>
        <w:t>The Terminal Valuation is deliberately structured so that short-termist strategies — optimising treasury at the expense of ESG metrics — produce lower terminal valuations than integrated ESG strategies. This reflects the well-documented empirical relationship between ESG quality and long-run enterprise value (Khan, Serafeim &amp; Yoon, 2016; Eccles, Ioannou &amp; Serafeim, 2014).</w:t>
      </w:r>
    </w:p>
    <w:p w14:paraId="540E302C" w14:textId="77777777" w:rsidR="003743EC" w:rsidRDefault="00000000">
      <w:pPr>
        <w:pStyle w:val="Heading3"/>
      </w:pPr>
      <w:bookmarkStart w:id="74" w:name="Xd23aa023d33ac144dda9d32518bdac3b487cdd4"/>
      <w:bookmarkStart w:id="75" w:name="_Toc232946719"/>
      <w:bookmarkEnd w:id="72"/>
      <w:r>
        <w:t xml:space="preserve">7.2 The Regenerative Multiple (M_R) — The ESG Quality Score</w:t>
      </w:r>
      <w:bookmarkEnd w:id="75"/>
    </w:p>
    <w:p w14:paraId="3F5AE113" w14:textId="77777777" w:rsidR="003743EC" w:rsidRDefault="00000000">
      <w:r>
        <w:t>The Regenerative Multiple (M_R) is the ESG quality dimension of the final score. It is a multiplier (range: approximately 0.0 to 2.03; only a survival-mode turnaround session caps M_R at 0.6) applied to the base terminal valuation, reflecting the quality and consistency of ESG governance across the full session arc.</w:t>
      </w:r>
    </w:p>
    <w:p w14:paraId="1C796E9F" w14:textId="77777777" w:rsidR="003743EC" w:rsidRDefault="00000000">
      <w:pPr>
        <w:pStyle w:val="BodyText"/>
      </w:pPr>
      <w:r>
        <w:rPr>
          <w:b/>
          <w:bCs/>
        </w:rPr>
        <w:t>Critical design principle:</w:t>
      </w:r>
      <w:r>
        <w:t xml:space="preserve"> M_R cannot be gamed in R10. The majority of flags that contribute to M_R are set in R1–R7. A team that has consistently made poor ESG decisions across R1–7 and then attempts to “correct” in R8–10 will see limited M_R improvement. This models the real-world principle that ESG reputation is built (or destroyed) across years of consistent governance, not through last-minute disclosures.</w:t>
      </w:r>
    </w:p>
    <w:p w14:paraId="79957FA2" w14:textId="77777777" w:rsidR="003743EC" w:rsidRDefault="00000000">
      <w:pPr>
        <w:pStyle w:val="BodyText"/>
      </w:pPr>
      <w:r>
        <w:t xml:space="preserve">M_R components include: - Materiality score from R2 (weighted) - Carbon leadership flags from R3 and R7 - NCD trajectory (penalised for high compounding) - Social license score average across all rounds - JT_factor contribution - Greenwashing penalty (if applied) - SDG Deep Track M_SDG multiplier (if side track completed)</w:t>
      </w:r>
    </w:p>
    <w:p w14:paraId="774E5AB1" w14:textId="77777777" w:rsidR="003743EC" w:rsidRDefault="00000000">
      <w:pPr>
        <w:pStyle w:val="Heading3"/>
      </w:pPr>
      <w:bookmarkStart w:id="76" w:name="the-ceo-interview-the-reflection-score"/>
      <w:bookmarkStart w:id="77" w:name="_Toc232946720"/>
      <w:bookmarkEnd w:id="74"/>
      <w:r>
        <w:t>7.3 The CEO Interview — The Reflection Score</w:t>
      </w:r>
      <w:bookmarkEnd w:id="77"/>
    </w:p>
    <w:p w14:paraId="13FA276C" w14:textId="77777777" w:rsidR="003743EC" w:rsidRDefault="00000000">
      <w:r>
        <w:t>The CEO Interview is a structured reflective assessment conducted at the end of R10 (or as a post-simulation assignment). It requires participants to respond to 5–7 questions about their strategic decisions, reasoning, and learnings.</w:t>
      </w:r>
    </w:p>
    <w:p w14:paraId="7EC71C18" w14:textId="77777777" w:rsidR="003743EC" w:rsidRDefault="00000000">
      <w:pPr>
        <w:pStyle w:val="BodyText"/>
      </w:pPr>
      <w:r>
        <w:t xml:space="preserve">Scoring breakdown: - </w:t>
      </w:r>
      <w:r>
        <w:rPr>
          <w:b/>
          <w:bCs/>
        </w:rPr>
        <w:t xml:space="preserve">50% — LLM Quality Assessment:</w:t>
      </w:r>
      <w:r>
        <w:t xml:space="preserve"> An AI evaluator assesses the quality of the participant’s reasoning, their ability to connect decisions to consequences, and the sophistication of their systems thinking. - </w:t>
      </w:r>
      <w:r>
        <w:rPr>
          <w:b/>
          <w:bCs/>
        </w:rPr>
        <w:t xml:space="preserve">50% — Simulation Data Alignment:</w:t>
      </w:r>
      <w:r>
        <w:t xml:space="preserve"> The assessment checks whether the participant’s account is consistent with the actual session audit log. Participants who claim to have made decisions they did not make, or who attribute outcomes to factors the data does not support, receive lower scores on this dimension.</w:t>
      </w:r>
    </w:p>
    <w:p w14:paraId="378DB7F6" w14:textId="77777777" w:rsidR="003743EC" w:rsidRDefault="00000000">
      <w:pPr>
        <w:pStyle w:val="BodyText"/>
      </w:pPr>
      <w:r>
        <w:t xml:space="preserve">This dual scoring structure is designed to assess </w:t>
      </w:r>
      <w:r>
        <w:rPr>
          <w:b/>
          <w:bCs/>
        </w:rPr>
        <w:t>genuine learning</w:t>
      </w:r>
      <w:r>
        <w:t xml:space="preserve"> rather than the ability to write a plausible-sounding reflection that is disconnected from actual experience.</w:t>
      </w:r>
    </w:p>
    <w:p w14:paraId="52D719EE" w14:textId="77777777" w:rsidR="003743EC" w:rsidRDefault="00000000">
      <w:pPr>
        <w:pStyle w:val="Heading3"/>
      </w:pPr>
      <w:bookmarkStart w:id="78" w:name="X504342e98c1f7a661de9dd4c54cb22e127c354e"/>
      <w:bookmarkStart w:id="79" w:name="_Toc232946721"/>
      <w:bookmarkEnd w:id="76"/>
      <w:r>
        <w:lastRenderedPageBreak/>
        <w:t>7.4 Corporate Archetype — Narrative Assessment Label</w:t>
      </w:r>
      <w:bookmarkEnd w:id="79"/>
    </w:p>
    <w:p w14:paraId="210A96D4" w14:textId="77777777" w:rsidR="003743EC" w:rsidRDefault="00000000">
      <w:r>
        <w:t xml:space="preserve">Based on the combination of Terminal Valuation, M_R, and CEO Interview score, each team receives a </w:t>
      </w:r>
      <w:r>
        <w:rPr>
          <w:b/>
          <w:bCs/>
        </w:rPr>
        <w:t>Corporate Archetype</w:t>
      </w:r>
      <w:r>
        <w:t xml:space="preserve"> — a narrative label that communicates the character of their leadership in emotionally resonant terms.</w:t>
      </w:r>
    </w:p>
    <w:p w14:paraId="2E4914EA" w14:textId="77777777" w:rsidR="003743EC" w:rsidRDefault="00000000">
      <w:pPr>
        <w:pStyle w:val="BodyText"/>
      </w:pPr>
      <w:r>
        <w:t xml:space="preserve">Examples: - </w:t>
      </w:r>
      <w:r>
        <w:rPr>
          <w:b/>
          <w:bCs/>
        </w:rPr>
        <w:t>The Regenerative Titan</w:t>
      </w:r>
      <w:r>
        <w:t xml:space="preserve"> (M_R ≥ 1.8) — ESG and financial excellence aligned - </w:t>
      </w:r>
      <w:r>
        <w:rPr>
          <w:b/>
          <w:bCs/>
        </w:rPr>
        <w:t>The De-risked Safe-Haven</w:t>
      </w:r>
      <w:r>
        <w:t xml:space="preserve"> (M_R 1.2–1.79) — strong governance de-risks the enterprise and lowers its cost of capital - </w:t>
      </w:r>
      <w:r>
        <w:rPr>
          <w:b/>
          <w:bCs/>
        </w:rPr>
        <w:t>The Fragile Giant</w:t>
      </w:r>
      <w:r>
        <w:t xml:space="preserve"> (M_R 0.8–1.19) — sizeable but ESG-exposed and financially fragile - </w:t>
      </w:r>
      <w:r>
        <w:rPr>
          <w:b/>
          <w:bCs/>
        </w:rPr>
        <w:t>The Stranded Relic</w:t>
      </w:r>
      <w:r>
        <w:t xml:space="preserve"> (M_R &lt; 0.8) — enterprise value eroded by sustained ESG failure. A fifth archetype, The Turnaround Manager, applies to survival-mode sessions (M_R capped at 0.80), and each ending pathway supplies its own override title and icon</w:t>
      </w:r>
    </w:p>
    <w:p w14:paraId="44B41CF0" w14:textId="77777777" w:rsidR="003743EC" w:rsidRDefault="00000000">
      <w:pPr>
        <w:pStyle w:val="BodyText"/>
      </w:pPr>
      <w:r>
        <w:t xml:space="preserve">The archetype is designed to make the financial score </w:t>
      </w:r>
      <w:r>
        <w:rPr>
          <w:i/>
          <w:iCs/>
        </w:rPr>
        <w:t>emotionally resonant</w:t>
      </w:r>
      <w:r>
        <w:t xml:space="preserve"> — to translate a number into a narrative that participants can take away from the simulation and remember. Research on narrative learning (Bruner, 1991) suggests that story-form information is retained and recalled more reliably than propositional information.</w:t>
      </w:r>
    </w:p>
    <w:p w14:paraId="4CC70B6A" w14:textId="77777777" w:rsidR="003743EC" w:rsidRDefault="00000000">
      <w:pPr>
        <w:pStyle w:val="Heading3"/>
      </w:pPr>
      <w:bookmarkStart w:id="80" w:name="cross-pathway-normalisation"/>
      <w:bookmarkStart w:id="81" w:name="_Toc232946722"/>
      <w:bookmarkEnd w:id="78"/>
      <w:r>
        <w:t>7.5 Cross-Pathway Normalisation</w:t>
      </w:r>
      <w:bookmarkEnd w:id="81"/>
    </w:p>
    <w:p w14:paraId="0B0DAE63" w14:textId="77777777" w:rsidR="003743EC" w:rsidRDefault="00000000">
      <w:r>
        <w:t>Because different sessions run different pathways (Activist Ultimatum — the default — Climate Black Swan, Stakeholder Revolt, Hostile Takeover, and Regulatory Shutdown), raw terminal valuations are not directly comparable across cohorts. The cross-pathway normalisation algorithm adjusts each team’s terminal valuation relative to the expected trajectory of their specific pathway, enabling fair comparison on a shared leaderboard. This is important for multi-cohort competitive scenarios and institutional reporting where cohorts run different paradigm and pathway combinations.</w:t>
      </w:r>
    </w:p>
    <w:p w14:paraId="26E7CD61" w14:textId="6E6A52AC" w:rsidR="003743EC" w:rsidRDefault="003743EC"/>
    <w:p w14:paraId="7FF2891E" w14:textId="77777777" w:rsidR="00CE26CC" w:rsidRDefault="00CE26CC">
      <w:pPr>
        <w:pStyle w:val="Heading2"/>
        <w:sectPr w:rsidR="00CE26CC" w:rsidSect="0022200D">
          <w:pgSz w:w="12240" w:h="15840"/>
          <w:pgMar w:top="993" w:right="1608" w:bottom="1440" w:left="1800" w:header="720" w:footer="720" w:gutter="0"/>
          <w:cols w:space="720"/>
          <w:docGrid w:linePitch="360"/>
        </w:sectPr>
      </w:pPr>
      <w:bookmarkStart w:id="82" w:name="difficulty-tier-design-rationale"/>
      <w:bookmarkStart w:id="83" w:name="_Toc232946723"/>
      <w:bookmarkEnd w:id="70"/>
      <w:bookmarkEnd w:id="80"/>
    </w:p>
    <w:p w14:paraId="25BECBAC" w14:textId="77777777" w:rsidR="003743EC" w:rsidRDefault="00000000">
      <w:pPr>
        <w:pStyle w:val="Heading2"/>
      </w:pPr>
      <w:r>
        <w:lastRenderedPageBreak/>
        <w:t>8. Difficulty Tier Design Rationale</w:t>
      </w:r>
      <w:bookmarkEnd w:id="83"/>
    </w:p>
    <w:p w14:paraId="23983943" w14:textId="77777777" w:rsidR="003743EC" w:rsidRDefault="00000000">
      <w:pPr>
        <w:pStyle w:val="Heading3"/>
      </w:pPr>
      <w:bookmarkStart w:id="84" w:name="standard-1.0x-difficulty"/>
      <w:bookmarkStart w:id="85" w:name="_Toc232946724"/>
      <w:r>
        <w:t>8.1 Standard (1.0x Difficulty)</w:t>
      </w:r>
      <w:bookmarkEnd w:id="85"/>
    </w:p>
    <w:p w14:paraId="21D98686" w14:textId="77777777" w:rsidR="003743EC" w:rsidRDefault="00000000">
      <w:r>
        <w:rPr>
          <w:b/>
          <w:bCs/>
        </w:rPr>
        <w:t>Target audience:</w:t>
      </w:r>
      <w:r>
        <w:t xml:space="preserve"> Foundation and Advanced undergraduate business students; first-year MBA students; practitioners new to ESG governance.</w:t>
      </w:r>
    </w:p>
    <w:p w14:paraId="310A8B96" w14:textId="77777777" w:rsidR="003743EC" w:rsidRDefault="00000000">
      <w:pPr>
        <w:pStyle w:val="BodyText"/>
      </w:pPr>
      <w:r>
        <w:t xml:space="preserve">Standard difficulty is designed to be </w:t>
      </w:r>
      <w:r>
        <w:rPr>
          <w:b/>
          <w:bCs/>
        </w:rPr>
        <w:t>accessible without being trivial</w:t>
      </w:r>
      <w:r>
        <w:t>. The crisis options are clearly differentiated, the financial consequences of decisions are legible within 1–2 rounds, and Black Swan events are relatively mild in their financial impact (1.0x multiplier). The engine also exposes an Introductory (Easy) tier below Standard for first-exposure cohorts, which halves Black Swan probability (0.5x), reduces impact to 0.7x, and widens the treasury floor to −$500M.</w:t>
      </w:r>
    </w:p>
    <w:p w14:paraId="7C99C936" w14:textId="77777777" w:rsidR="003743EC" w:rsidRDefault="00000000">
      <w:pPr>
        <w:pStyle w:val="BodyText"/>
      </w:pPr>
      <w:r>
        <w:t xml:space="preserve">The critical R1 design decision — splitting R1 into an orientation phase and a decision phase — is a Standard-only feature, grounded in </w:t>
      </w:r>
      <w:r>
        <w:rPr>
          <w:b/>
          <w:bCs/>
        </w:rPr>
        <w:t>Sweller’s (1988) Cognitive Load Theory</w:t>
      </w:r>
      <w:r>
        <w:t>. Participants new to simulation-based learning face significant extraneous cognitive load from navigating the interface, understanding the BU mechanics, and parsing the session setup simultaneously. Splitting these tasks into sequential phases reduces this load and ensures the R1 decision is made with adequate cognitive capacity.</w:t>
      </w:r>
    </w:p>
    <w:p w14:paraId="32C92703" w14:textId="77777777" w:rsidR="003743EC" w:rsidRDefault="00000000">
      <w:pPr>
        <w:pStyle w:val="BodyText"/>
      </w:pPr>
      <w:r>
        <w:t xml:space="preserve">Standard difficulty is also the only tier where certain KPIs are partially explained in round-opening text. Advanced and Expert tiers expect participants to interpret dashboard data with minimal scaffolding.</w:t>
      </w:r>
    </w:p>
    <w:p w14:paraId="69EA6472" w14:textId="77777777" w:rsidR="003743EC" w:rsidRDefault="00000000">
      <w:pPr>
        <w:pStyle w:val="Heading3"/>
      </w:pPr>
      <w:bookmarkStart w:id="86" w:name="advanced-1.5x-black-swan-1.3x-esg-impact"/>
      <w:bookmarkStart w:id="87" w:name="_Toc232946725"/>
      <w:bookmarkEnd w:id="84"/>
      <w:r>
        <w:t>8.2 Advanced (1.5x Black Swan, 1.3x ESG Impact)</w:t>
      </w:r>
      <w:bookmarkEnd w:id="87"/>
    </w:p>
    <w:p w14:paraId="601C58C2" w14:textId="77777777" w:rsidR="003743EC" w:rsidRDefault="00000000">
      <w:r>
        <w:rPr>
          <w:b/>
          <w:bCs/>
        </w:rPr>
        <w:t>Target audience:</w:t>
      </w:r>
      <w:r>
        <w:t xml:space="preserve"> Experienced MBA students; mid-career executive education; practitioners with ESG background.</w:t>
      </w:r>
    </w:p>
    <w:p w14:paraId="3A85E12B" w14:textId="77777777" w:rsidR="003743EC" w:rsidRDefault="00000000">
      <w:pPr>
        <w:pStyle w:val="BodyText"/>
      </w:pPr>
      <w:r>
        <w:t>Advanced difficulty increases Black Swan event severity to 1.5x their Standard values, making them genuinely threatening to session viability. ESG consequence multipliers are increased to 1.3x, meaning poor ESG decisions have materially larger downstream effects.</w:t>
      </w:r>
    </w:p>
    <w:p w14:paraId="3D1C0E88" w14:textId="77777777" w:rsidR="003743EC" w:rsidRDefault="00000000">
      <w:pPr>
        <w:pStyle w:val="BodyText"/>
      </w:pPr>
      <w:r>
        <w:t xml:space="preserve">The design intent is to make the Advanced tier feel </w:t>
      </w:r>
      <w:r>
        <w:rPr>
          <w:b/>
          <w:bCs/>
        </w:rPr>
        <w:t>realistically pressured</w:t>
      </w:r>
      <w:r>
        <w:t xml:space="preserve"> rather than artificially punitive. In real corporate environments, ESG governance failures and climate events do not politely limit their financial consequences to comfortable levels. Advanced difficulty calibrates the simulation to the actual severity of real-world ESG risk events — for example, the Vale Brumadinho dam disaster (2019) caused approximately BRL 25 billion in financial consequences.</w:t>
      </w:r>
    </w:p>
    <w:p w14:paraId="78663E0F" w14:textId="77777777" w:rsidR="003743EC" w:rsidRDefault="00000000">
      <w:pPr>
        <w:pStyle w:val="BodyText"/>
      </w:pPr>
      <w:r>
        <w:t>Advanced difficulty removes the R1 phase split and reduces narrative scaffolding throughout.</w:t>
      </w:r>
    </w:p>
    <w:p w14:paraId="0567D0AB" w14:textId="77777777" w:rsidR="003743EC" w:rsidRDefault="00000000">
      <w:pPr>
        <w:pStyle w:val="Heading3"/>
      </w:pPr>
      <w:bookmarkStart w:id="88" w:name="expert-regulatory-sandbox-se-7"/>
      <w:bookmarkStart w:id="89" w:name="_Toc232946726"/>
      <w:bookmarkEnd w:id="86"/>
      <w:r>
        <w:t>8.3 Expert (+ Regulatory Sandbox SE-7)</w:t>
      </w:r>
      <w:bookmarkEnd w:id="89"/>
    </w:p>
    <w:p w14:paraId="7ABCF67A" w14:textId="77777777" w:rsidR="003743EC" w:rsidRDefault="00000000">
      <w:r>
        <w:rPr>
          <w:b/>
          <w:bCs/>
        </w:rPr>
        <w:t>Target audience:</w:t>
      </w:r>
      <w:r>
        <w:t xml:space="preserve"> Senior executives; C-suite development programmes; policy researchers; regulatory professionals.</w:t>
      </w:r>
    </w:p>
    <w:p w14:paraId="3E4895AA" w14:textId="77777777" w:rsidR="003743EC" w:rsidRDefault="00000000">
      <w:pPr>
        <w:pStyle w:val="BodyText"/>
      </w:pPr>
      <w:r>
        <w:t xml:space="preserve">Expert difficulty adds the </w:t>
      </w:r>
      <w:r>
        <w:rPr>
          <w:b/>
          <w:bCs/>
        </w:rPr>
        <w:t>Regulatory Sandbox SE-7</w:t>
      </w:r>
      <w:r>
        <w:t xml:space="preserve"> from Round 7 onwards — a mini-simulation within the simulation that requires teams to design their own policy response to an emerging regulatory challenge, rather than simply selecting from pre-configured options.</w:t>
      </w:r>
    </w:p>
    <w:p w14:paraId="01A2719B" w14:textId="69920EF0" w:rsidR="003743EC" w:rsidRDefault="00000000">
      <w:pPr>
        <w:pStyle w:val="BodyText"/>
      </w:pPr>
      <w:r>
        <w:t xml:space="preserve">The Regulatory Sandbox is designed for audiences that need to develop the capacity to </w:t>
      </w:r>
      <w:r>
        <w:rPr>
          <w:i/>
          <w:iCs/>
        </w:rPr>
        <w:t>create</w:t>
      </w:r>
      <w:r>
        <w:t xml:space="preserve"> new governance frameworks under uncertainty. This is Bloom’s Level 6 (Creation) - the highest level in the taxonomy and the rarest in simulation design.</w:t>
      </w:r>
    </w:p>
    <w:p w14:paraId="4FECE86D" w14:textId="77777777" w:rsidR="003743EC" w:rsidRDefault="00000000">
      <w:pPr>
        <w:pStyle w:val="BodyText"/>
      </w:pPr>
      <w:r>
        <w:lastRenderedPageBreak/>
        <w:t xml:space="preserve">SE-7 also introduces an additional scoring dimension — </w:t>
      </w:r>
      <w:r>
        <w:rPr>
          <w:b/>
          <w:bCs/>
        </w:rPr>
        <w:t>Policy Design Quality</w:t>
      </w:r>
      <w:r>
        <w:t xml:space="preserve"> — assessed by the LLM evaluator against criteria including stakeholder equity, implementability, and consistency with existing regulatory architecture (CSRD, EU AI Act, TNFD).</w:t>
      </w:r>
    </w:p>
    <w:p w14:paraId="4E9D8260" w14:textId="77777777" w:rsidR="003743EC" w:rsidRDefault="00000000">
      <w:pPr>
        <w:pStyle w:val="BodyText"/>
      </w:pPr>
      <w:r>
        <w:t>Expert difficulty assumes full ESG literacy from session start. No orientation scaffolding is provided. The Executive (Expert) tier applies the platform's maximum Black Swan multipliers — 1.5x probability and 1.3x impact — with the treasury floor tightened to −$50M; there is no higher multiplier tier.</w:t>
      </w:r>
    </w:p>
    <w:p w14:paraId="0B9F8DF2" w14:textId="16832ED3" w:rsidR="003743EC" w:rsidRDefault="003743EC"/>
    <w:p w14:paraId="41A80FEC" w14:textId="77777777" w:rsidR="00CE26CC" w:rsidRDefault="00CE26CC">
      <w:pPr>
        <w:pStyle w:val="Heading2"/>
        <w:sectPr w:rsidR="00CE26CC" w:rsidSect="005A7B8D">
          <w:pgSz w:w="12240" w:h="15840"/>
          <w:pgMar w:top="993" w:right="1800" w:bottom="1440" w:left="1800" w:header="720" w:footer="720" w:gutter="0"/>
          <w:cols w:space="720"/>
          <w:docGrid w:linePitch="360"/>
        </w:sectPr>
      </w:pPr>
      <w:bookmarkStart w:id="90" w:name="industry-vertical-design-rationale"/>
      <w:bookmarkStart w:id="91" w:name="_Toc232946727"/>
      <w:bookmarkEnd w:id="82"/>
      <w:bookmarkEnd w:id="88"/>
    </w:p>
    <w:p w14:paraId="03153411" w14:textId="77777777" w:rsidR="003743EC" w:rsidRDefault="00000000">
      <w:pPr>
        <w:pStyle w:val="Heading2"/>
      </w:pPr>
      <w:r>
        <w:lastRenderedPageBreak/>
        <w:t>9. Industry Vertical Design Rationale</w:t>
      </w:r>
      <w:bookmarkEnd w:id="91"/>
    </w:p>
    <w:p w14:paraId="5F7B17A9" w14:textId="77777777" w:rsidR="003743EC" w:rsidRDefault="00000000">
      <w:pPr>
        <w:pStyle w:val="Heading3"/>
      </w:pPr>
      <w:bookmarkStart w:id="92" w:name="why-verticals-exist"/>
      <w:bookmarkStart w:id="93" w:name="_Toc232946728"/>
      <w:r>
        <w:t>9.1 Why Verticals Exist</w:t>
      </w:r>
      <w:bookmarkEnd w:id="93"/>
    </w:p>
    <w:p w14:paraId="1047A40A" w14:textId="77777777" w:rsidR="003743EC" w:rsidRDefault="00000000">
      <w:r>
        <w:t xml:space="preserve">Industry verticals are a response to a fundamental tension in simulation design: </w:t>
      </w:r>
      <w:r>
        <w:rPr>
          <w:b/>
          <w:bCs/>
        </w:rPr>
        <w:t>generality vs. relevance</w:t>
      </w:r>
      <w:r>
        <w:t>. A simulation that uses generic manufacturing BUs is accessible to any audience but feels artificial to specialists. A simulation that uses sector-specific BUs feels authentic to specialists but excludes generalists.</w:t>
      </w:r>
    </w:p>
    <w:p w14:paraId="276CBE7E" w14:textId="77777777" w:rsidR="003743EC" w:rsidRDefault="00000000">
      <w:pPr>
        <w:pStyle w:val="BodyText"/>
      </w:pPr>
      <w:r>
        <w:t>The vertical system resolves this by providing a modular layer of sector-specific content (BU configurations, crisis scenarios, KPI names, real-world parallels) that overlays on the same underlying simulation engine. The core mechanics, flag system, and pedagogical engine are identical across verticals — only the content layer changes.</w:t>
      </w:r>
    </w:p>
    <w:p w14:paraId="11D4BDB8" w14:textId="77777777" w:rsidR="003743EC" w:rsidRDefault="00000000">
      <w:pPr>
        <w:pStyle w:val="Heading3"/>
      </w:pPr>
      <w:bookmarkStart w:id="94" w:name="oil-gas-vertical"/>
      <w:bookmarkStart w:id="95" w:name="_Toc232946729"/>
      <w:bookmarkEnd w:id="92"/>
      <w:r>
        <w:t>9.2 Oil &amp; Gas Vertical</w:t>
      </w:r>
      <w:bookmarkEnd w:id="95"/>
    </w:p>
    <w:p w14:paraId="297EFC6F" w14:textId="77777777" w:rsidR="003743EC" w:rsidRDefault="00000000">
      <w:r>
        <w:t xml:space="preserve">The Oil &amp; Gas vertical substitutes standard BUs with Upstream, Midstream, Downstream, and Renewables units. The defining feature is the </w:t>
      </w:r>
      <w:r>
        <w:rPr>
          <w:rStyle w:val="VerbatimChar"/>
        </w:rPr>
        <w:t>carbon_intensity</w:t>
      </w:r>
      <w:r>
        <w:t xml:space="preserve"> setting: Upstream BU CI = 95 (the highest in any vertical), creating extreme stranded asset risk pressure from R3 onwards.</w:t>
      </w:r>
    </w:p>
    <w:p w14:paraId="07A6F7D5" w14:textId="77777777" w:rsidR="003743EC" w:rsidRDefault="00000000">
      <w:pPr>
        <w:pStyle w:val="BodyText"/>
      </w:pPr>
      <w:r>
        <w:t xml:space="preserve">The pedagogical intent is to force </w:t>
      </w:r>
      <w:r>
        <w:rPr>
          <w:b/>
          <w:bCs/>
        </w:rPr>
        <w:t>existential decarbonisation thinking</w:t>
      </w:r>
      <w:r>
        <w:t xml:space="preserve"> — the recognition that a business model built on high-carbon extraction is fundamentally incompatible with a 1.5 degrees C pathway, and that the transition cost is not optional but merely a question of timing and management. This is a harder cognitive challenge than standard ESG trade-off analysis because it requires questioning the fundamental viability of the business model itself.</w:t>
      </w:r>
    </w:p>
    <w:p w14:paraId="2B7E6120" w14:textId="77777777" w:rsidR="003743EC" w:rsidRDefault="00000000">
      <w:pPr>
        <w:pStyle w:val="Heading3"/>
      </w:pPr>
      <w:bookmarkStart w:id="96" w:name="banking-financial-services-vertical"/>
      <w:bookmarkStart w:id="97" w:name="_Toc232946730"/>
      <w:bookmarkEnd w:id="94"/>
      <w:r>
        <w:t>9.3 Banking &amp; Financial Services Vertical</w:t>
      </w:r>
      <w:bookmarkEnd w:id="97"/>
    </w:p>
    <w:p w14:paraId="2A60CBB0" w14:textId="77777777" w:rsidR="003743EC" w:rsidRDefault="00000000">
      <w:r>
        <w:t xml:space="preserve">The Banking vertical replaces physical BUs with financial service lines: Retail Banking, Corporate Lending, Asset Management, and Insurance. The ESG risk in this vertical is </w:t>
      </w:r>
      <w:r>
        <w:rPr>
          <w:b/>
          <w:bCs/>
        </w:rPr>
        <w:t>indirect and systemic</w:t>
      </w:r>
      <w:r>
        <w:t xml:space="preserve"> rather than direct and operational: financed emissions (PCAF standard), SFDR portfolio-level ESG ratings, and transition risk in lending books.</w:t>
      </w:r>
    </w:p>
    <w:p w14:paraId="5E72E837" w14:textId="77777777" w:rsidR="003743EC" w:rsidRDefault="00000000">
      <w:pPr>
        <w:pStyle w:val="BodyText"/>
      </w:pPr>
      <w:r>
        <w:t>This vertical is designed to address the common misperception among financial sector participants that ESG is “someone else’s problem.” The simulation makes the feedback loop visible: poor ESG in the lending book damages the bank’s own ESG rating, which affects its cost of funding, which affects its ability to compete for premium corporate clients.</w:t>
      </w:r>
    </w:p>
    <w:p w14:paraId="7943788B" w14:textId="77777777" w:rsidR="003743EC" w:rsidRDefault="00000000">
      <w:pPr>
        <w:pStyle w:val="Heading3"/>
      </w:pPr>
      <w:bookmarkStart w:id="98" w:name="agriculture-vertical"/>
      <w:bookmarkStart w:id="99" w:name="_Toc232946731"/>
      <w:bookmarkEnd w:id="96"/>
      <w:r>
        <w:t>9.4 Agriculture Vertical</w:t>
      </w:r>
      <w:bookmarkEnd w:id="99"/>
    </w:p>
    <w:p w14:paraId="2C746249" w14:textId="77777777" w:rsidR="003743EC" w:rsidRDefault="00000000">
      <w:r>
        <w:t xml:space="preserve">The Agriculture vertical is the simulation’s most nature-intensive configuration. Both TNFD and TCFD frameworks are active simultaneously — teams face both nature-related risks (soil health, water dependency, biodiversity loss) and climate risks (drought, flood, crop failure).</w:t>
      </w:r>
    </w:p>
    <w:p w14:paraId="07EB52AE" w14:textId="77777777" w:rsidR="003743EC" w:rsidRDefault="00000000">
      <w:pPr>
        <w:pStyle w:val="BodyText"/>
      </w:pPr>
      <w:r>
        <w:t xml:space="preserve">This vertical demonstrates the </w:t>
      </w:r>
      <w:r>
        <w:rPr>
          <w:b/>
          <w:bCs/>
        </w:rPr>
        <w:t>co-dependence of nature risk and climate risk</w:t>
      </w:r>
      <w:r>
        <w:t xml:space="preserve"> — a relationship that is increasingly recognised in frameworks like TNFD but that is frequently siloed in organisational ESG management (climate team vs. environmental team). The Agriculture vertical forces integration.</w:t>
      </w:r>
    </w:p>
    <w:p w14:paraId="69CF8D9D" w14:textId="77777777" w:rsidR="003743EC" w:rsidRDefault="00000000">
      <w:pPr>
        <w:pStyle w:val="Heading3"/>
      </w:pPr>
      <w:bookmarkStart w:id="100" w:name="healthcare-edition"/>
      <w:bookmarkStart w:id="101" w:name="_Toc232946732"/>
      <w:bookmarkEnd w:id="98"/>
      <w:r>
        <w:t>9.5 Healthcare Edition</w:t>
      </w:r>
      <w:bookmarkEnd w:id="101"/>
    </w:p>
    <w:p w14:paraId="5A78A6E9" w14:textId="77777777" w:rsidR="003743EC" w:rsidRDefault="00000000">
      <w:r>
        <w:t xml:space="preserve">The Healthcare Edition is a completely separate BU configuration: Hospitals, Clinics, Specialised Care, and Telehealth. It introduces an additional KPI — </w:t>
      </w:r>
      <w:r>
        <w:rPr>
          <w:b/>
          <w:bCs/>
        </w:rPr>
        <w:t>Patient Outcomes Score</w:t>
      </w:r>
      <w:r>
        <w:t xml:space="preserve"> — which </w:t>
        <w:lastRenderedPageBreak/>
        <w:t>functions as the ESG metric in this paradigm, replacing social license score in certain calculations.</w:t>
      </w:r>
    </w:p>
    <w:p w14:paraId="61A8218B" w14:textId="77777777" w:rsidR="003743EC" w:rsidRDefault="00000000">
      <w:pPr>
        <w:pStyle w:val="BodyText"/>
      </w:pPr>
      <w:r>
        <w:t>Healthcare is the simulation’s most ethically explicit vertical. The ESG governance failures available in the Healthcare Edition have direct patient impact consequences, not just financial and reputational ones. This makes the ethical reasoning dimension of the assessment more immediate and less abstract.</w:t>
      </w:r>
    </w:p>
    <w:p w14:paraId="0A1BB6BA" w14:textId="67779E35" w:rsidR="003743EC" w:rsidRDefault="003743EC"/>
    <w:p w14:paraId="72FD5069" w14:textId="77777777" w:rsidR="00CE26CC" w:rsidRDefault="00CE26CC">
      <w:pPr>
        <w:pStyle w:val="Heading2"/>
        <w:sectPr w:rsidR="00CE26CC" w:rsidSect="005A7B8D">
          <w:pgSz w:w="12240" w:h="15840"/>
          <w:pgMar w:top="993" w:right="1800" w:bottom="1440" w:left="1800" w:header="720" w:footer="720" w:gutter="0"/>
          <w:cols w:space="720"/>
          <w:docGrid w:linePitch="360"/>
        </w:sectPr>
      </w:pPr>
      <w:bookmarkStart w:id="102" w:name="the-greenwashing-engine-design-intent"/>
      <w:bookmarkStart w:id="103" w:name="_Toc232946733"/>
      <w:bookmarkEnd w:id="90"/>
      <w:bookmarkEnd w:id="100"/>
    </w:p>
    <w:p w14:paraId="643DC041" w14:textId="77777777" w:rsidR="003743EC" w:rsidRDefault="00000000">
      <w:pPr>
        <w:pStyle w:val="Heading2"/>
      </w:pPr>
      <w:r>
        <w:lastRenderedPageBreak/>
        <w:t>10. The Greenwashing Engine — Design Intent</w:t>
      </w:r>
      <w:bookmarkEnd w:id="103"/>
    </w:p>
    <w:p w14:paraId="300570C8" w14:textId="77777777" w:rsidR="003743EC" w:rsidRDefault="00000000">
      <w:pPr>
        <w:pStyle w:val="Heading3"/>
      </w:pPr>
      <w:bookmarkStart w:id="104" w:name="mechanism"/>
      <w:bookmarkStart w:id="105" w:name="_Toc232946734"/>
      <w:r>
        <w:t>10.1 Mechanism</w:t>
      </w:r>
      <w:bookmarkEnd w:id="105"/>
    </w:p>
    <w:p w14:paraId="5BC46319" w14:textId="77777777" w:rsidR="003743EC" w:rsidRDefault="00000000">
      <w:r>
        <w:t xml:space="preserve">The Greenwashing Engine detects when a team has selected a pro-ESG option in the crisis decision </w:t>
      </w:r>
      <w:r>
        <w:rPr>
          <w:i/>
          <w:iCs/>
        </w:rPr>
        <w:t>without</w:t>
      </w:r>
      <w:r>
        <w:t xml:space="preserve"> making the corresponding financial commitment (below the 15% investment threshold in the relevant pillar decision). When this pattern is detected, the engine applies a </w:t>
      </w:r>
      <w:r>
        <w:rPr>
          <w:b/>
          <w:bCs/>
        </w:rPr>
        <w:t>minus 15 reputation penalty</w:t>
      </w:r>
      <w:r>
        <w:t xml:space="preserve"> and sets the </w:t>
      </w:r>
      <w:r>
        <w:rPr>
          <w:rStyle w:val="VerbatimChar"/>
        </w:rPr>
        <w:t>greenwashing_detected</w:t>
      </w:r>
      <w:r>
        <w:t xml:space="preserve"> flag.</w:t>
      </w:r>
    </w:p>
    <w:p w14:paraId="181AAA00" w14:textId="77777777" w:rsidR="003743EC" w:rsidRDefault="00000000">
      <w:pPr>
        <w:pStyle w:val="Heading3"/>
      </w:pPr>
      <w:bookmarkStart w:id="106" w:name="the-15-investment-threshold"/>
      <w:bookmarkStart w:id="107" w:name="_Toc232946735"/>
      <w:bookmarkEnd w:id="104"/>
      <w:r>
        <w:t>10.2 The 15% Investment Threshold</w:t>
      </w:r>
      <w:bookmarkEnd w:id="107"/>
    </w:p>
    <w:p w14:paraId="51F87566" w14:textId="77777777" w:rsidR="003743EC" w:rsidRDefault="00000000">
      <w:r>
        <w:t>The 15% investment threshold is derived from ESG investment benchmarks for credible corporate sustainability action. Multiple empirical analyses of corporate ESG reporting (Eccles &amp; Klimenko, 2019; MSCI ESG Research) have identified that ESG commitments backed by less than 15% of related CAPEX or OPEX tend to produce negligible material progress and are consistently identified as greenwashing by third-party auditors.</w:t>
      </w:r>
    </w:p>
    <w:p w14:paraId="43BCBB1F" w14:textId="77777777" w:rsidR="003743EC" w:rsidRDefault="00000000">
      <w:pPr>
        <w:pStyle w:val="BodyText"/>
      </w:pPr>
      <w:r>
        <w:t>The threshold is therefore not an arbitrary game parameter — it is calibrated to reflect real-world standards for credible ESG investment.</w:t>
      </w:r>
    </w:p>
    <w:p w14:paraId="3A6371C6" w14:textId="77777777" w:rsidR="003743EC" w:rsidRDefault="00000000">
      <w:pPr>
        <w:pStyle w:val="Heading3"/>
      </w:pPr>
      <w:bookmarkStart w:id="108" w:name="the-minus-15-reputation-penalty"/>
      <w:bookmarkStart w:id="109" w:name="_Toc232946736"/>
      <w:bookmarkEnd w:id="106"/>
      <w:r>
        <w:t>10.3 The Minus 15 Reputation Penalty</w:t>
      </w:r>
      <w:bookmarkEnd w:id="109"/>
    </w:p>
    <w:p w14:paraId="141086C8" w14:textId="77777777" w:rsidR="003743EC" w:rsidRDefault="00000000">
      <w:r>
        <w:t xml:space="preserve">The minus 15 reputation penalty is calibrated to be </w:t>
      </w:r>
      <w:r>
        <w:rPr>
          <w:b/>
          <w:bCs/>
        </w:rPr>
        <w:t>painful but not fatal</w:t>
      </w:r>
      <w:r>
        <w:t>. Starting from a typical Round 3–5 reputation of 65–80, a minus 15 penalty drops the team into the 50–65 range — a range that materially increases cost of capital and reduces social license score but does not terminate the session’s viability.</w:t>
      </w:r>
    </w:p>
    <w:p w14:paraId="590F75EE" w14:textId="77777777" w:rsidR="003743EC" w:rsidRDefault="00000000">
      <w:pPr>
        <w:pStyle w:val="BodyText"/>
      </w:pPr>
      <w:r>
        <w:t>This calibration is pedagogically deliberate. The penalty should teach, not punish. A reputationally catastrophic penalty would make the simulation unrecoverable for some teams at the expense of the learning experience. A trivial penalty would fail to create the visceral learning moment that consequential learning requires.</w:t>
      </w:r>
    </w:p>
    <w:p w14:paraId="412C0C0B" w14:textId="77777777" w:rsidR="003743EC" w:rsidRDefault="00000000">
      <w:pPr>
        <w:pStyle w:val="Heading3"/>
      </w:pPr>
      <w:bookmarkStart w:id="110" w:name="legitimacy-theory-connection"/>
      <w:bookmarkStart w:id="111" w:name="_Toc232946737"/>
      <w:bookmarkEnd w:id="108"/>
      <w:r>
        <w:t>10.4 Legitimacy Theory Connection</w:t>
      </w:r>
      <w:bookmarkEnd w:id="111"/>
    </w:p>
    <w:p w14:paraId="51D6E101" w14:textId="77777777" w:rsidR="003743EC" w:rsidRDefault="00000000">
      <w:r>
        <w:t xml:space="preserve">The Greenwashing Engine is the simulation’s most direct operationalisation of </w:t>
      </w:r>
      <w:r>
        <w:rPr>
          <w:b/>
          <w:bCs/>
        </w:rPr>
        <w:t>Suchman’s (1995) Legitimacy Theory</w:t>
      </w:r>
      <w:r>
        <w:t>. Legitimacy Theory holds that organisations exist within a social contract that requires them to act in ways congruent with societal norms and expectations. When behaviour diverges from professed values — as in greenwashing — the legitimacy gap triggers a correction response from the market and stakeholders.</w:t>
      </w:r>
    </w:p>
    <w:p w14:paraId="3B82C97E" w14:textId="77777777" w:rsidR="003743EC" w:rsidRDefault="00000000">
      <w:pPr>
        <w:pStyle w:val="BodyText"/>
      </w:pPr>
      <w:r>
        <w:t>The reputation penalty models this correction. In debrief, facilitators should make this connection explicit: “Who in the real world applies this correction, and how?”</w:t>
      </w:r>
    </w:p>
    <w:p w14:paraId="2378B05B" w14:textId="7B02C154" w:rsidR="003743EC" w:rsidRDefault="003743EC"/>
    <w:p w14:paraId="33BFB704" w14:textId="77777777" w:rsidR="00CE26CC" w:rsidRDefault="00CE26CC">
      <w:pPr>
        <w:pStyle w:val="Heading2"/>
        <w:sectPr w:rsidR="00CE26CC" w:rsidSect="005A7B8D">
          <w:pgSz w:w="12240" w:h="15840"/>
          <w:pgMar w:top="993" w:right="1800" w:bottom="1440" w:left="1800" w:header="720" w:footer="720" w:gutter="0"/>
          <w:cols w:space="720"/>
          <w:docGrid w:linePitch="360"/>
        </w:sectPr>
      </w:pPr>
      <w:bookmarkStart w:id="112" w:name="side-track-design-philosophy"/>
      <w:bookmarkStart w:id="113" w:name="_Toc232946738"/>
      <w:bookmarkEnd w:id="102"/>
      <w:bookmarkEnd w:id="110"/>
    </w:p>
    <w:p w14:paraId="681254C5" w14:textId="77777777" w:rsidR="003743EC" w:rsidRDefault="00000000">
      <w:pPr>
        <w:pStyle w:val="Heading2"/>
      </w:pPr>
      <w:r>
        <w:lastRenderedPageBreak/>
        <w:t xml:space="preserve">11. Side Track Design Philosophy</w:t>
      </w:r>
      <w:bookmarkEnd w:id="113"/>
    </w:p>
    <w:p w14:paraId="224AEEDF" w14:textId="77777777" w:rsidR="003743EC" w:rsidRDefault="00000000">
      <w:pPr>
        <w:pStyle w:val="Heading3"/>
      </w:pPr>
      <w:bookmarkStart w:id="114" w:name="design-purpose-1"/>
      <w:bookmarkStart w:id="115" w:name="_Toc232946739"/>
      <w:r>
        <w:t>11.1 Design Purpose</w:t>
      </w:r>
      <w:bookmarkEnd w:id="115"/>
    </w:p>
    <w:p w14:paraId="2FBAAAAB" w14:textId="77777777" w:rsidR="003743EC" w:rsidRDefault="00000000">
      <w:r>
        <w:t xml:space="preserve">Side tracks are optional depth modules that cohorts or individual teams can engage with alongside the main simulation. They are designed for cohorts that want to go deeper into a specific ESG domain — complementary deep-dives, not replacements for the main simulation.</w:t>
      </w:r>
    </w:p>
    <w:p w14:paraId="27322ACE" w14:textId="77777777" w:rsidR="003743EC" w:rsidRDefault="00000000">
      <w:pPr>
        <w:pStyle w:val="BodyText"/>
      </w:pPr>
      <w:r>
        <w:t xml:space="preserve">The key design principle is that side tracks must </w:t>
      </w:r>
      <w:r>
        <w:rPr>
          <w:b/>
          <w:bCs/>
        </w:rPr>
        <w:t>write back</w:t>
      </w:r>
      <w:r>
        <w:t xml:space="preserve"> quantitative flags to the main simulation. Their outcomes affect the main simulation’s scoring and mechanics. This ensures that engagement with side tracks has genuine stakes, rather than being optional enrichment with no consequence.</w:t>
      </w:r>
    </w:p>
    <w:p w14:paraId="4AA0DBA8" w14:textId="77777777" w:rsidR="003743EC" w:rsidRDefault="00000000">
      <w:pPr>
        <w:pStyle w:val="Heading3"/>
      </w:pPr>
      <w:bookmarkStart w:id="116" w:name="sdg-deep-track-m_sdg-multiplier"/>
      <w:bookmarkStart w:id="117" w:name="_Toc232946740"/>
      <w:bookmarkEnd w:id="114"/>
      <w:r>
        <w:t>11.2 SDG Deep Track — M_SDG Multiplier</w:t>
      </w:r>
      <w:bookmarkEnd w:id="117"/>
    </w:p>
    <w:p w14:paraId="18178610" w14:textId="77777777" w:rsidR="003743EC" w:rsidRDefault="00000000">
      <w:r>
        <w:t xml:space="preserve">The SDG Deep Track is the simulation’s most comprehensive side track. It requires teams to map their ESG decisions across all 10 rounds to the 17 SDGs, assess their contribution (positive and negative), and develop an integrated SDG strategy.</w:t>
      </w:r>
    </w:p>
    <w:p w14:paraId="597ED8F8" w14:textId="77777777" w:rsidR="003743EC" w:rsidRDefault="00000000">
      <w:pPr>
        <w:pStyle w:val="BodyText"/>
      </w:pPr>
      <w:r>
        <w:t xml:space="preserve">The M_SDG multiplier (up to 1.26) is the largest single modifier available in the simulation. It is deliberately designed to reward </w:t>
      </w:r>
      <w:r>
        <w:rPr>
          <w:b/>
          <w:bCs/>
        </w:rPr>
        <w:t>holistic SDG integration</w:t>
      </w:r>
      <w:r>
        <w:t xml:space="preserve"> — not cherry-picking the 2–3 SDGs most convenient for the team’s business model, but genuinely engaging with the full SDG framework, including Goal 16 (Peace, Justice, Strong Institutions) and Goal 17 (Partnerships for the Goals), which are frequently neglected in corporate SDG reporting.</w:t>
      </w:r>
    </w:p>
    <w:p w14:paraId="72569508" w14:textId="77777777" w:rsidR="003743EC" w:rsidRDefault="00000000">
      <w:pPr>
        <w:pStyle w:val="Heading3"/>
      </w:pPr>
      <w:bookmarkStart w:id="118" w:name="Xa6b57fc39b897dc3bb205d2b9fbdd6b960b1f99"/>
      <w:bookmarkStart w:id="119" w:name="_Toc232946741"/>
      <w:bookmarkEnd w:id="116"/>
      <w:r>
        <w:t xml:space="preserve">11.3 BRSR NGRBC Side Track — Indian Corporate Context</w:t>
      </w:r>
      <w:bookmarkEnd w:id="119"/>
    </w:p>
    <w:p w14:paraId="7EA0462B" w14:textId="77777777" w:rsidR="003743EC" w:rsidRDefault="00000000">
      <w:r>
        <w:t xml:space="preserve">The BRSR (Business Responsibility and Sustainability Reporting) NGRBC (National Guidelines for Responsible Business Conduct) side track makes the simulation relevant for Indian corporate compliance contexts. SEBI mandated BRSR disclosure for the top 1,000 listed companies in India from FY 2022–23.</w:t>
      </w:r>
    </w:p>
    <w:p w14:paraId="65B0DFF9" w14:textId="77777777" w:rsidR="003743EC" w:rsidRDefault="00000000">
      <w:pPr>
        <w:pStyle w:val="BodyText"/>
      </w:pPr>
      <w:r>
        <w:t xml:space="preserve">This side track adds a parallel disclosure assessment against the NGRBC’s 9 Principles, scored against BRSR’s 9 Essential Indicators per principle. Teams that complete this side track receive an India Market Legitimacy bonus applied to their Terminal Valuation, representing the reputational and regulatory compliance benefit of BRSR alignment.</w:t>
      </w:r>
    </w:p>
    <w:p w14:paraId="4D8D3324" w14:textId="77777777" w:rsidR="003743EC" w:rsidRDefault="00000000">
      <w:r>
        <w:pict w14:anchorId="0F9D9E31">
          <v:rect id="_x0000_i1235" style="width:0;height:1.5pt" o:hralign="center" o:hrstd="t" o:hr="t"/>
        </w:pict>
      </w:r>
    </w:p>
    <w:p w14:paraId="3CEFC432" w14:textId="77777777" w:rsidR="003743EC" w:rsidRDefault="00000000">
      <w:pPr>
        <w:pStyle w:val="Heading2"/>
      </w:pPr>
      <w:bookmarkStart w:id="120" w:name="academic-theory-map"/>
      <w:bookmarkStart w:id="121" w:name="_Toc232946742"/>
      <w:bookmarkEnd w:id="112"/>
      <w:bookmarkEnd w:id="118"/>
      <w:r>
        <w:t>12. Academic Theory Map</w:t>
      </w:r>
      <w:bookmarkEnd w:id="121"/>
    </w:p>
    <w:p w14:paraId="55467D04" w14:textId="77777777" w:rsidR="003743EC" w:rsidRDefault="00000000">
      <w:r>
        <w:t>The following table maps each simulation mechanic to its primary academic theoretical reference.</w:t>
      </w:r>
    </w:p>
    <w:tbl>
      <w:tblPr>
        <w:tblW w:w="50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02"/>
        <w:gridCol w:w="2835"/>
        <w:gridCol w:w="3260"/>
      </w:tblGrid>
      <w:tr w:rsidR="003743EC" w14:paraId="0C38C0B8" w14:textId="77777777" w:rsidTr="0022200D">
        <w:trPr>
          <w:tblHeader/>
        </w:trPr>
        <w:tc>
          <w:tcPr>
            <w:tcW w:w="2802" w:type="dxa"/>
          </w:tcPr>
          <w:p w14:paraId="0C36EDE7" w14:textId="77777777" w:rsidR="003743EC" w:rsidRDefault="00000000">
            <w:r>
              <w:t>Mechanic</w:t>
            </w:r>
          </w:p>
        </w:tc>
        <w:tc>
          <w:tcPr>
            <w:tcW w:w="2835" w:type="dxa"/>
          </w:tcPr>
          <w:p w14:paraId="32517C87" w14:textId="77777777" w:rsidR="003743EC" w:rsidRDefault="00000000">
            <w:r>
              <w:t>Theory</w:t>
            </w:r>
          </w:p>
        </w:tc>
        <w:tc>
          <w:tcPr>
            <w:tcW w:w="3260" w:type="dxa"/>
          </w:tcPr>
          <w:p w14:paraId="7B231710" w14:textId="77777777" w:rsidR="003743EC" w:rsidRDefault="00000000">
            <w:r>
              <w:t>Citation</w:t>
            </w:r>
          </w:p>
        </w:tc>
      </w:tr>
      <w:tr w:rsidR="003743EC" w14:paraId="5BA1316E" w14:textId="77777777" w:rsidTr="0022200D">
        <w:tc>
          <w:tcPr>
            <w:tcW w:w="2802" w:type="dxa"/>
          </w:tcPr>
          <w:p w14:paraId="784608B7" w14:textId="77777777" w:rsidR="003743EC" w:rsidRDefault="00000000">
            <w:r>
              <w:t>Stakeholder Map R1</w:t>
            </w:r>
          </w:p>
        </w:tc>
        <w:tc>
          <w:tcPr>
            <w:tcW w:w="2835" w:type="dxa"/>
          </w:tcPr>
          <w:p w14:paraId="31C94553" w14:textId="77777777" w:rsidR="003743EC" w:rsidRDefault="00000000">
            <w:r>
              <w:t>Power-Interest Matrix</w:t>
            </w:r>
          </w:p>
        </w:tc>
        <w:tc>
          <w:tcPr>
            <w:tcW w:w="3260" w:type="dxa"/>
          </w:tcPr>
          <w:p w14:paraId="117549E9" w14:textId="77777777" w:rsidR="003743EC" w:rsidRDefault="00000000">
            <w:r>
              <w:t>Mendelow (1991)</w:t>
            </w:r>
          </w:p>
        </w:tc>
      </w:tr>
      <w:tr w:rsidR="003743EC" w14:paraId="1164237D" w14:textId="77777777" w:rsidTr="0022200D">
        <w:tc>
          <w:tcPr>
            <w:tcW w:w="2802" w:type="dxa"/>
          </w:tcPr>
          <w:p w14:paraId="51F2353B" w14:textId="77777777" w:rsidR="003743EC" w:rsidRDefault="00000000">
            <w:r>
              <w:t>Stakeholder Salience R1</w:t>
            </w:r>
          </w:p>
        </w:tc>
        <w:tc>
          <w:tcPr>
            <w:tcW w:w="2835" w:type="dxa"/>
          </w:tcPr>
          <w:p w14:paraId="53F10454" w14:textId="77777777" w:rsidR="003743EC" w:rsidRDefault="00000000">
            <w:r>
              <w:t>Stakeholder Salience Theory</w:t>
            </w:r>
          </w:p>
        </w:tc>
        <w:tc>
          <w:tcPr>
            <w:tcW w:w="3260" w:type="dxa"/>
          </w:tcPr>
          <w:p w14:paraId="603FF9EF" w14:textId="77777777" w:rsidR="003743EC" w:rsidRDefault="00000000">
            <w:r>
              <w:t>Mitchell, Agle &amp; Wood (1997)</w:t>
            </w:r>
          </w:p>
        </w:tc>
      </w:tr>
      <w:tr w:rsidR="003743EC" w14:paraId="281A764F" w14:textId="77777777" w:rsidTr="0022200D">
        <w:tc>
          <w:tcPr>
            <w:tcW w:w="2802" w:type="dxa"/>
          </w:tcPr>
          <w:p w14:paraId="49B227D5" w14:textId="77777777" w:rsidR="003743EC" w:rsidRDefault="00000000">
            <w:r>
              <w:t>R1 to R4 Cascade</w:t>
            </w:r>
          </w:p>
        </w:tc>
        <w:tc>
          <w:tcPr>
            <w:tcW w:w="2835" w:type="dxa"/>
          </w:tcPr>
          <w:p w14:paraId="52AF03C6" w14:textId="77777777" w:rsidR="003743EC" w:rsidRDefault="00000000">
            <w:r>
              <w:t>Double-Loop Learning</w:t>
            </w:r>
          </w:p>
        </w:tc>
        <w:tc>
          <w:tcPr>
            <w:tcW w:w="3260" w:type="dxa"/>
          </w:tcPr>
          <w:p w14:paraId="1F30A444" w14:textId="77777777" w:rsidR="003743EC" w:rsidRDefault="00000000">
            <w:r>
              <w:t>Argyris (1977)</w:t>
            </w:r>
          </w:p>
        </w:tc>
      </w:tr>
      <w:tr w:rsidR="003743EC" w14:paraId="4B55E607" w14:textId="77777777" w:rsidTr="0022200D">
        <w:tc>
          <w:tcPr>
            <w:tcW w:w="2802" w:type="dxa"/>
          </w:tcPr>
          <w:p w14:paraId="1A39719E" w14:textId="77777777" w:rsidR="003743EC" w:rsidRDefault="00000000">
            <w:r>
              <w:t>Fog of War R1–R3</w:t>
            </w:r>
          </w:p>
        </w:tc>
        <w:tc>
          <w:tcPr>
            <w:tcW w:w="2835" w:type="dxa"/>
          </w:tcPr>
          <w:p w14:paraId="28C887BA" w14:textId="77777777" w:rsidR="003743EC" w:rsidRDefault="00000000">
            <w:r>
              <w:t>Bounded Rationality</w:t>
            </w:r>
          </w:p>
        </w:tc>
        <w:tc>
          <w:tcPr>
            <w:tcW w:w="3260" w:type="dxa"/>
          </w:tcPr>
          <w:p w14:paraId="300BAF6E" w14:textId="77777777" w:rsidR="003743EC" w:rsidRDefault="00000000">
            <w:r>
              <w:t>Simon (1955)</w:t>
            </w:r>
          </w:p>
        </w:tc>
      </w:tr>
      <w:tr w:rsidR="003743EC" w14:paraId="7502B868" w14:textId="77777777" w:rsidTr="0022200D">
        <w:tc>
          <w:tcPr>
            <w:tcW w:w="2802" w:type="dxa"/>
          </w:tcPr>
          <w:p w14:paraId="396676EE" w14:textId="77777777" w:rsidR="003743EC" w:rsidRDefault="00000000">
            <w:r>
              <w:lastRenderedPageBreak/>
              <w:t>Surface Scan (System 1 bias)</w:t>
            </w:r>
          </w:p>
        </w:tc>
        <w:tc>
          <w:tcPr>
            <w:tcW w:w="2835" w:type="dxa"/>
          </w:tcPr>
          <w:p w14:paraId="2AED60E1" w14:textId="77777777" w:rsidR="003743EC" w:rsidRDefault="00000000">
            <w:r>
              <w:t>Dual Process Theory</w:t>
            </w:r>
          </w:p>
        </w:tc>
        <w:tc>
          <w:tcPr>
            <w:tcW w:w="3260" w:type="dxa"/>
          </w:tcPr>
          <w:p w14:paraId="6FAA5819" w14:textId="77777777" w:rsidR="003743EC" w:rsidRDefault="00000000">
            <w:r>
              <w:t>Kahneman (2011)</w:t>
            </w:r>
          </w:p>
        </w:tc>
      </w:tr>
      <w:tr w:rsidR="003743EC" w14:paraId="7D35F920" w14:textId="77777777" w:rsidTr="0022200D">
        <w:tc>
          <w:tcPr>
            <w:tcW w:w="2802" w:type="dxa"/>
          </w:tcPr>
          <w:p w14:paraId="04695B68" w14:textId="77777777" w:rsidR="003743EC" w:rsidRDefault="00000000">
            <w:r>
              <w:t>Double Materiality R2</w:t>
            </w:r>
          </w:p>
        </w:tc>
        <w:tc>
          <w:tcPr>
            <w:tcW w:w="2835" w:type="dxa"/>
          </w:tcPr>
          <w:p w14:paraId="58E44E5E" w14:textId="77777777" w:rsidR="003743EC" w:rsidRDefault="00000000">
            <w:r>
              <w:t>CSRD/ESRS 1 Section 1.51</w:t>
            </w:r>
          </w:p>
        </w:tc>
        <w:tc>
          <w:tcPr>
            <w:tcW w:w="3260" w:type="dxa"/>
          </w:tcPr>
          <w:p w14:paraId="499F3EB8" w14:textId="77777777" w:rsidR="003743EC" w:rsidRDefault="00000000">
            <w:r>
              <w:t>European Commission (2023)</w:t>
            </w:r>
          </w:p>
        </w:tc>
      </w:tr>
      <w:tr w:rsidR="003743EC" w14:paraId="5D6C324D" w14:textId="77777777" w:rsidTr="0022200D">
        <w:tc>
          <w:tcPr>
            <w:tcW w:w="2802" w:type="dxa"/>
          </w:tcPr>
          <w:p w14:paraId="1AA32A20" w14:textId="77777777" w:rsidR="003743EC" w:rsidRDefault="00000000">
            <w:r>
              <w:t>R2 Legitimacy Gap</w:t>
            </w:r>
          </w:p>
        </w:tc>
        <w:tc>
          <w:tcPr>
            <w:tcW w:w="2835" w:type="dxa"/>
          </w:tcPr>
          <w:p w14:paraId="0093DDE1" w14:textId="77777777" w:rsidR="003743EC" w:rsidRDefault="00000000">
            <w:r>
              <w:t>Legitimacy Theory</w:t>
            </w:r>
          </w:p>
        </w:tc>
        <w:tc>
          <w:tcPr>
            <w:tcW w:w="3260" w:type="dxa"/>
          </w:tcPr>
          <w:p w14:paraId="43B3A275" w14:textId="77777777" w:rsidR="003743EC" w:rsidRDefault="00000000">
            <w:r>
              <w:t>Suchman (1995)</w:t>
            </w:r>
          </w:p>
        </w:tc>
      </w:tr>
      <w:tr w:rsidR="003743EC" w14:paraId="69642E1E" w14:textId="77777777" w:rsidTr="0022200D">
        <w:tc>
          <w:tcPr>
            <w:tcW w:w="2802" w:type="dxa"/>
          </w:tcPr>
          <w:p w14:paraId="1AD2AA70" w14:textId="77777777" w:rsidR="003743EC" w:rsidRDefault="00000000">
            <w:r>
              <w:t>NCD Compounding</w:t>
            </w:r>
          </w:p>
        </w:tc>
        <w:tc>
          <w:tcPr>
            <w:tcW w:w="2835" w:type="dxa"/>
          </w:tcPr>
          <w:p w14:paraId="1EE144D6" w14:textId="77777777" w:rsidR="003743EC" w:rsidRDefault="00000000">
            <w:r>
              <w:t>Stranded Assets</w:t>
            </w:r>
          </w:p>
        </w:tc>
        <w:tc>
          <w:tcPr>
            <w:tcW w:w="3260" w:type="dxa"/>
          </w:tcPr>
          <w:p w14:paraId="431A776B" w14:textId="77777777" w:rsidR="003743EC" w:rsidRDefault="00000000">
            <w:r>
              <w:t>Carbon Tracker Initiative (2013)</w:t>
            </w:r>
          </w:p>
        </w:tc>
      </w:tr>
      <w:tr w:rsidR="003743EC" w14:paraId="405D0818" w14:textId="77777777" w:rsidTr="0022200D">
        <w:tc>
          <w:tcPr>
            <w:tcW w:w="2802" w:type="dxa"/>
          </w:tcPr>
          <w:p w14:paraId="434A2477" w14:textId="77777777" w:rsidR="003743EC" w:rsidRDefault="00000000">
            <w:r>
              <w:t>First-Mover R3</w:t>
            </w:r>
          </w:p>
        </w:tc>
        <w:tc>
          <w:tcPr>
            <w:tcW w:w="2835" w:type="dxa"/>
          </w:tcPr>
          <w:p w14:paraId="0E65D4D5" w14:textId="77777777" w:rsidR="003743EC" w:rsidRDefault="00000000">
            <w:r>
              <w:t>First-Mover Advantage</w:t>
            </w:r>
          </w:p>
        </w:tc>
        <w:tc>
          <w:tcPr>
            <w:tcW w:w="3260" w:type="dxa"/>
          </w:tcPr>
          <w:p w14:paraId="73A29C8F" w14:textId="77777777" w:rsidR="003743EC" w:rsidRDefault="00000000">
            <w:r>
              <w:t>Lieberman &amp; Montgomery (1988)</w:t>
            </w:r>
          </w:p>
        </w:tc>
      </w:tr>
      <w:tr w:rsidR="003743EC" w14:paraId="6B6A3A03" w14:textId="77777777" w:rsidTr="0022200D">
        <w:tc>
          <w:tcPr>
            <w:tcW w:w="2802" w:type="dxa"/>
          </w:tcPr>
          <w:p w14:paraId="4C0C5B28" w14:textId="77777777" w:rsidR="003743EC" w:rsidRDefault="00000000">
            <w:r>
              <w:t>Option C R3 Deferral</w:t>
            </w:r>
          </w:p>
        </w:tc>
        <w:tc>
          <w:tcPr>
            <w:tcW w:w="2835" w:type="dxa"/>
          </w:tcPr>
          <w:p w14:paraId="1111F097" w14:textId="77777777" w:rsidR="003743EC" w:rsidRDefault="00000000">
            <w:r>
              <w:t>Real Options Theory</w:t>
            </w:r>
          </w:p>
        </w:tc>
        <w:tc>
          <w:tcPr>
            <w:tcW w:w="3260" w:type="dxa"/>
          </w:tcPr>
          <w:p w14:paraId="78478946" w14:textId="77777777" w:rsidR="003743EC" w:rsidRDefault="00000000">
            <w:r>
              <w:t>Dixit &amp; Pindyck (1994)</w:t>
            </w:r>
          </w:p>
        </w:tc>
      </w:tr>
      <w:tr w:rsidR="003743EC" w14:paraId="5C298D8F" w14:textId="77777777" w:rsidTr="0022200D">
        <w:tc>
          <w:tcPr>
            <w:tcW w:w="2802" w:type="dxa"/>
          </w:tcPr>
          <w:p w14:paraId="65408165" w14:textId="77777777" w:rsidR="003743EC" w:rsidRDefault="00000000">
            <w:r>
              <w:t>Shadow Board R5</w:t>
            </w:r>
          </w:p>
        </w:tc>
        <w:tc>
          <w:tcPr>
            <w:tcW w:w="2835" w:type="dxa"/>
          </w:tcPr>
          <w:p w14:paraId="76B0E6B7" w14:textId="77777777" w:rsidR="003743EC" w:rsidRDefault="00000000">
            <w:r>
              <w:t>Stewardship Theory</w:t>
            </w:r>
          </w:p>
        </w:tc>
        <w:tc>
          <w:tcPr>
            <w:tcW w:w="3260" w:type="dxa"/>
          </w:tcPr>
          <w:p w14:paraId="7B8FF150" w14:textId="77777777" w:rsidR="003743EC" w:rsidRDefault="00000000">
            <w:r>
              <w:t>Davis, Schoorman &amp; Donaldson (1997)</w:t>
            </w:r>
          </w:p>
        </w:tc>
      </w:tr>
      <w:tr w:rsidR="003743EC" w14:paraId="0650E0A8" w14:textId="77777777" w:rsidTr="0022200D">
        <w:tc>
          <w:tcPr>
            <w:tcW w:w="2802" w:type="dxa"/>
          </w:tcPr>
          <w:p w14:paraId="41289EC3" w14:textId="77777777" w:rsidR="003743EC" w:rsidRDefault="00000000">
            <w:r>
              <w:t>AI Ethics R6</w:t>
            </w:r>
          </w:p>
        </w:tc>
        <w:tc>
          <w:tcPr>
            <w:tcW w:w="2835" w:type="dxa"/>
          </w:tcPr>
          <w:p w14:paraId="4E5F6353" w14:textId="77777777" w:rsidR="003743EC" w:rsidRDefault="00000000">
            <w:r>
              <w:t>EU AI Act Risk Classification</w:t>
            </w:r>
          </w:p>
        </w:tc>
        <w:tc>
          <w:tcPr>
            <w:tcW w:w="3260" w:type="dxa"/>
          </w:tcPr>
          <w:p w14:paraId="3C7241BE" w14:textId="77777777" w:rsidR="003743EC" w:rsidRDefault="00000000">
            <w:r>
              <w:t>European Commission (2024)</w:t>
            </w:r>
          </w:p>
        </w:tc>
      </w:tr>
      <w:tr w:rsidR="003743EC" w14:paraId="397F4538" w14:textId="77777777" w:rsidTr="0022200D">
        <w:tc>
          <w:tcPr>
            <w:tcW w:w="2802" w:type="dxa"/>
          </w:tcPr>
          <w:p w14:paraId="67C73D35" w14:textId="77777777" w:rsidR="003743EC" w:rsidRDefault="00000000">
            <w:r>
              <w:t>Circular Economy R7</w:t>
            </w:r>
          </w:p>
        </w:tc>
        <w:tc>
          <w:tcPr>
            <w:tcW w:w="2835" w:type="dxa"/>
          </w:tcPr>
          <w:p w14:paraId="61841296" w14:textId="77777777" w:rsidR="003743EC" w:rsidRDefault="00000000">
            <w:r>
              <w:t>Cradle-to-Cradle</w:t>
            </w:r>
          </w:p>
        </w:tc>
        <w:tc>
          <w:tcPr>
            <w:tcW w:w="3260" w:type="dxa"/>
          </w:tcPr>
          <w:p w14:paraId="22C9F9C2" w14:textId="77777777" w:rsidR="003743EC" w:rsidRDefault="00000000">
            <w:r>
              <w:t>McDonough &amp; Braungart (2002)</w:t>
            </w:r>
          </w:p>
        </w:tc>
      </w:tr>
      <w:tr w:rsidR="003743EC" w14:paraId="067EDD75" w14:textId="77777777" w:rsidTr="0022200D">
        <w:tc>
          <w:tcPr>
            <w:tcW w:w="2802" w:type="dxa"/>
          </w:tcPr>
          <w:p w14:paraId="628F4298" w14:textId="77777777" w:rsidR="003743EC" w:rsidRDefault="00000000">
            <w:r>
              <w:t>Shared Value R7</w:t>
            </w:r>
          </w:p>
        </w:tc>
        <w:tc>
          <w:tcPr>
            <w:tcW w:w="2835" w:type="dxa"/>
          </w:tcPr>
          <w:p w14:paraId="2CFAA579" w14:textId="77777777" w:rsidR="003743EC" w:rsidRDefault="00000000">
            <w:r>
              <w:t>Porter’s Shared Value</w:t>
            </w:r>
          </w:p>
        </w:tc>
        <w:tc>
          <w:tcPr>
            <w:tcW w:w="3260" w:type="dxa"/>
          </w:tcPr>
          <w:p w14:paraId="26AAEE26" w14:textId="77777777" w:rsidR="003743EC" w:rsidRDefault="00000000">
            <w:r>
              <w:t>Porter &amp; Kramer (2011)</w:t>
            </w:r>
          </w:p>
        </w:tc>
      </w:tr>
      <w:tr w:rsidR="003743EC" w14:paraId="0557B22F" w14:textId="77777777" w:rsidTr="0022200D">
        <w:tc>
          <w:tcPr>
            <w:tcW w:w="2802" w:type="dxa"/>
          </w:tcPr>
          <w:p w14:paraId="4C028714" w14:textId="77777777" w:rsidR="003743EC" w:rsidRDefault="00000000">
            <w:r>
              <w:t>ReSOLVE Framework R7</w:t>
            </w:r>
          </w:p>
        </w:tc>
        <w:tc>
          <w:tcPr>
            <w:tcW w:w="2835" w:type="dxa"/>
          </w:tcPr>
          <w:p w14:paraId="1804DF3D" w14:textId="77777777" w:rsidR="003743EC" w:rsidRDefault="00000000">
            <w:r>
              <w:t>Circular Economy Strategies</w:t>
            </w:r>
          </w:p>
        </w:tc>
        <w:tc>
          <w:tcPr>
            <w:tcW w:w="3260" w:type="dxa"/>
          </w:tcPr>
          <w:p w14:paraId="0DF4D9E4" w14:textId="77777777" w:rsidR="003743EC" w:rsidRDefault="00000000">
            <w:r>
              <w:t>Ellen MacArthur Foundation (2013)</w:t>
            </w:r>
          </w:p>
        </w:tc>
      </w:tr>
      <w:tr w:rsidR="003743EC" w14:paraId="436574D8" w14:textId="77777777" w:rsidTr="0022200D">
        <w:tc>
          <w:tcPr>
            <w:tcW w:w="2802" w:type="dxa"/>
          </w:tcPr>
          <w:p w14:paraId="105B6AF3" w14:textId="77777777" w:rsidR="003743EC" w:rsidRDefault="00000000">
            <w:r>
              <w:t>Water Risk R8</w:t>
            </w:r>
          </w:p>
        </w:tc>
        <w:tc>
          <w:tcPr>
            <w:tcW w:w="2835" w:type="dxa"/>
          </w:tcPr>
          <w:p w14:paraId="1E22B6C2" w14:textId="77777777" w:rsidR="003743EC" w:rsidRDefault="00000000">
            <w:r>
              <w:t>TNFD LEAP Framework</w:t>
            </w:r>
          </w:p>
        </w:tc>
        <w:tc>
          <w:tcPr>
            <w:tcW w:w="3260" w:type="dxa"/>
          </w:tcPr>
          <w:p w14:paraId="34C9F915" w14:textId="77777777" w:rsidR="003743EC" w:rsidRDefault="00000000">
            <w:r>
              <w:t>TNFD (2023)</w:t>
            </w:r>
          </w:p>
        </w:tc>
      </w:tr>
      <w:tr w:rsidR="003743EC" w14:paraId="2428E183" w14:textId="77777777" w:rsidTr="0022200D">
        <w:tc>
          <w:tcPr>
            <w:tcW w:w="2802" w:type="dxa"/>
          </w:tcPr>
          <w:p w14:paraId="2640509F" w14:textId="77777777" w:rsidR="003743EC" w:rsidRDefault="00000000">
            <w:r>
              <w:t>Just Transition R9</w:t>
            </w:r>
          </w:p>
        </w:tc>
        <w:tc>
          <w:tcPr>
            <w:tcW w:w="2835" w:type="dxa"/>
          </w:tcPr>
          <w:p w14:paraId="0C61A88D" w14:textId="77777777" w:rsidR="003743EC" w:rsidRDefault="00000000">
            <w:r>
              <w:t>ILO Just Transition</w:t>
            </w:r>
          </w:p>
        </w:tc>
        <w:tc>
          <w:tcPr>
            <w:tcW w:w="3260" w:type="dxa"/>
          </w:tcPr>
          <w:p w14:paraId="198BD2F6" w14:textId="77777777" w:rsidR="003743EC" w:rsidRDefault="00000000">
            <w:r>
              <w:t>ILO (2015)</w:t>
            </w:r>
          </w:p>
        </w:tc>
      </w:tr>
      <w:tr w:rsidR="003743EC" w14:paraId="6AA6C0E1" w14:textId="77777777" w:rsidTr="0022200D">
        <w:tc>
          <w:tcPr>
            <w:tcW w:w="2802" w:type="dxa"/>
          </w:tcPr>
          <w:p w14:paraId="4F6036A1" w14:textId="77777777" w:rsidR="003743EC" w:rsidRDefault="00000000">
            <w:r>
              <w:t>JT Scaling Factor</w:t>
            </w:r>
          </w:p>
        </w:tc>
        <w:tc>
          <w:tcPr>
            <w:tcW w:w="2835" w:type="dxa"/>
          </w:tcPr>
          <w:p w14:paraId="391CA8BD" w14:textId="77777777" w:rsidR="003743EC" w:rsidRDefault="00000000">
            <w:r>
              <w:t>Human Capital Theory</w:t>
            </w:r>
          </w:p>
        </w:tc>
        <w:tc>
          <w:tcPr>
            <w:tcW w:w="3260" w:type="dxa"/>
          </w:tcPr>
          <w:p w14:paraId="1B8223DE" w14:textId="77777777" w:rsidR="003743EC" w:rsidRDefault="00000000">
            <w:r>
              <w:t>Becker (1964)</w:t>
            </w:r>
          </w:p>
        </w:tc>
      </w:tr>
      <w:tr w:rsidR="003743EC" w14:paraId="59C68A47" w14:textId="77777777" w:rsidTr="0022200D">
        <w:tc>
          <w:tcPr>
            <w:tcW w:w="2802" w:type="dxa"/>
          </w:tcPr>
          <w:p w14:paraId="1A4271A6" w14:textId="77777777" w:rsidR="003743EC" w:rsidRDefault="00000000">
            <w:r>
              <w:t>Social License Decay</w:t>
            </w:r>
          </w:p>
        </w:tc>
        <w:tc>
          <w:tcPr>
            <w:tcW w:w="2835" w:type="dxa"/>
          </w:tcPr>
          <w:p w14:paraId="020EB517" w14:textId="77777777" w:rsidR="003743EC" w:rsidRDefault="00000000">
            <w:r>
              <w:t>Social Contract Theory</w:t>
            </w:r>
          </w:p>
        </w:tc>
        <w:tc>
          <w:tcPr>
            <w:tcW w:w="3260" w:type="dxa"/>
          </w:tcPr>
          <w:p w14:paraId="0945E749" w14:textId="77777777" w:rsidR="003743EC" w:rsidRDefault="00000000">
            <w:r>
              <w:t>Rawls (1971) / Carroll (1991)</w:t>
            </w:r>
          </w:p>
        </w:tc>
      </w:tr>
      <w:tr w:rsidR="003743EC" w14:paraId="6F82E226" w14:textId="77777777" w:rsidTr="0022200D">
        <w:tc>
          <w:tcPr>
            <w:tcW w:w="2802" w:type="dxa"/>
          </w:tcPr>
          <w:p w14:paraId="30B39D73" w14:textId="77777777" w:rsidR="003743EC" w:rsidRDefault="00000000">
            <w:r>
              <w:t>Board Room Moment</w:t>
            </w:r>
          </w:p>
        </w:tc>
        <w:tc>
          <w:tcPr>
            <w:tcW w:w="2835" w:type="dxa"/>
          </w:tcPr>
          <w:p w14:paraId="75AC2342" w14:textId="77777777" w:rsidR="003743EC" w:rsidRDefault="00000000">
            <w:r>
              <w:t>Reflective Practice</w:t>
            </w:r>
          </w:p>
        </w:tc>
        <w:tc>
          <w:tcPr>
            <w:tcW w:w="3260" w:type="dxa"/>
          </w:tcPr>
          <w:p w14:paraId="67D19D0D" w14:textId="77777777" w:rsidR="003743EC" w:rsidRDefault="00000000">
            <w:r>
              <w:t>Moon (2004)</w:t>
            </w:r>
          </w:p>
        </w:tc>
      </w:tr>
      <w:tr w:rsidR="003743EC" w14:paraId="7E2BC32E" w14:textId="77777777" w:rsidTr="0022200D">
        <w:tc>
          <w:tcPr>
            <w:tcW w:w="2802" w:type="dxa"/>
          </w:tcPr>
          <w:p w14:paraId="0B2AB143" w14:textId="77777777" w:rsidR="003743EC" w:rsidRDefault="00000000">
            <w:r>
              <w:t>CEO Diary Narration</w:t>
            </w:r>
          </w:p>
        </w:tc>
        <w:tc>
          <w:tcPr>
            <w:tcW w:w="2835" w:type="dxa"/>
          </w:tcPr>
          <w:p w14:paraId="7FDF08B7" w14:textId="77777777" w:rsidR="003743EC" w:rsidRDefault="00000000">
            <w:r>
              <w:t>Narrative Learning</w:t>
            </w:r>
          </w:p>
        </w:tc>
        <w:tc>
          <w:tcPr>
            <w:tcW w:w="3260" w:type="dxa"/>
          </w:tcPr>
          <w:p w14:paraId="2A5E4938" w14:textId="77777777" w:rsidR="003743EC" w:rsidRDefault="00000000">
            <w:r>
              <w:t>Bruner (1991)</w:t>
            </w:r>
          </w:p>
        </w:tc>
      </w:tr>
      <w:tr w:rsidR="003743EC" w14:paraId="7F8644B8" w14:textId="77777777" w:rsidTr="0022200D">
        <w:tc>
          <w:tcPr>
            <w:tcW w:w="2802" w:type="dxa"/>
          </w:tcPr>
          <w:p w14:paraId="6FEBB3BE" w14:textId="77777777" w:rsidR="003743EC" w:rsidRDefault="00000000">
            <w:r>
              <w:t>Bloom’s Taxonomy (L4–L6)</w:t>
            </w:r>
          </w:p>
        </w:tc>
        <w:tc>
          <w:tcPr>
            <w:tcW w:w="2835" w:type="dxa"/>
          </w:tcPr>
          <w:p w14:paraId="405B7FED" w14:textId="77777777" w:rsidR="003743EC" w:rsidRDefault="00000000">
            <w:r>
              <w:t>Learning Design</w:t>
            </w:r>
          </w:p>
        </w:tc>
        <w:tc>
          <w:tcPr>
            <w:tcW w:w="3260" w:type="dxa"/>
          </w:tcPr>
          <w:p w14:paraId="11478356" w14:textId="77777777" w:rsidR="003743EC" w:rsidRDefault="00000000">
            <w:r>
              <w:t>Bloom et al. (1956)</w:t>
            </w:r>
          </w:p>
        </w:tc>
      </w:tr>
      <w:tr w:rsidR="003743EC" w14:paraId="6D6D5A16" w14:textId="77777777" w:rsidTr="0022200D">
        <w:tc>
          <w:tcPr>
            <w:tcW w:w="2802" w:type="dxa"/>
          </w:tcPr>
          <w:p w14:paraId="5D0735D0" w14:textId="77777777" w:rsidR="003743EC" w:rsidRDefault="00000000">
            <w:r>
              <w:t>Kolb Learning Cycle</w:t>
            </w:r>
          </w:p>
        </w:tc>
        <w:tc>
          <w:tcPr>
            <w:tcW w:w="2835" w:type="dxa"/>
          </w:tcPr>
          <w:p w14:paraId="78A846D9" w14:textId="77777777" w:rsidR="003743EC" w:rsidRDefault="00000000">
            <w:r>
              <w:t>Experiential Learning</w:t>
            </w:r>
          </w:p>
        </w:tc>
        <w:tc>
          <w:tcPr>
            <w:tcW w:w="3260" w:type="dxa"/>
          </w:tcPr>
          <w:p w14:paraId="6AB2EE50" w14:textId="77777777" w:rsidR="003743EC" w:rsidRDefault="00000000">
            <w:r>
              <w:t>Kolb (1984)</w:t>
            </w:r>
          </w:p>
        </w:tc>
      </w:tr>
      <w:tr w:rsidR="003743EC" w14:paraId="1401ED04" w14:textId="77777777" w:rsidTr="0022200D">
        <w:tc>
          <w:tcPr>
            <w:tcW w:w="2802" w:type="dxa"/>
          </w:tcPr>
          <w:p w14:paraId="1725F4D5" w14:textId="77777777" w:rsidR="003743EC" w:rsidRDefault="00000000">
            <w:r>
              <w:t>R1 Phase Split</w:t>
            </w:r>
          </w:p>
        </w:tc>
        <w:tc>
          <w:tcPr>
            <w:tcW w:w="2835" w:type="dxa"/>
          </w:tcPr>
          <w:p w14:paraId="262E4627" w14:textId="77777777" w:rsidR="003743EC" w:rsidRDefault="00000000">
            <w:r>
              <w:t>Cognitive Load Theory</w:t>
            </w:r>
          </w:p>
        </w:tc>
        <w:tc>
          <w:tcPr>
            <w:tcW w:w="3260" w:type="dxa"/>
          </w:tcPr>
          <w:p w14:paraId="5846178A" w14:textId="77777777" w:rsidR="003743EC" w:rsidRDefault="00000000">
            <w:r>
              <w:t>Sweller (1988)</w:t>
            </w:r>
          </w:p>
        </w:tc>
      </w:tr>
      <w:tr w:rsidR="003743EC" w14:paraId="6401866D" w14:textId="77777777" w:rsidTr="0022200D">
        <w:tc>
          <w:tcPr>
            <w:tcW w:w="2802" w:type="dxa"/>
          </w:tcPr>
          <w:p w14:paraId="28EE6ACD" w14:textId="77777777" w:rsidR="003743EC" w:rsidRDefault="00000000">
            <w:r>
              <w:t>VRIO Decay (path dependency)</w:t>
            </w:r>
          </w:p>
        </w:tc>
        <w:tc>
          <w:tcPr>
            <w:tcW w:w="2835" w:type="dxa"/>
          </w:tcPr>
          <w:p w14:paraId="5D8404BA" w14:textId="77777777" w:rsidR="003743EC" w:rsidRDefault="00000000">
            <w:r>
              <w:t>Resource-Based View</w:t>
            </w:r>
          </w:p>
        </w:tc>
        <w:tc>
          <w:tcPr>
            <w:tcW w:w="3260" w:type="dxa"/>
          </w:tcPr>
          <w:p w14:paraId="2CB62DA3" w14:textId="77777777" w:rsidR="003743EC" w:rsidRDefault="00000000">
            <w:r>
              <w:t>Barney (1991)</w:t>
            </w:r>
          </w:p>
        </w:tc>
      </w:tr>
      <w:tr w:rsidR="003743EC" w14:paraId="6AEDE414" w14:textId="77777777" w:rsidTr="0022200D">
        <w:tc>
          <w:tcPr>
            <w:tcW w:w="2802" w:type="dxa"/>
          </w:tcPr>
          <w:p w14:paraId="298EF6FD" w14:textId="77777777" w:rsidR="003743EC" w:rsidRDefault="00000000">
            <w:r>
              <w:t>Greenwashing Engine</w:t>
            </w:r>
          </w:p>
        </w:tc>
        <w:tc>
          <w:tcPr>
            <w:tcW w:w="2835" w:type="dxa"/>
          </w:tcPr>
          <w:p w14:paraId="6CA61742" w14:textId="77777777" w:rsidR="003743EC" w:rsidRDefault="00000000">
            <w:r>
              <w:t>Legitimacy Theory</w:t>
            </w:r>
          </w:p>
        </w:tc>
        <w:tc>
          <w:tcPr>
            <w:tcW w:w="3260" w:type="dxa"/>
          </w:tcPr>
          <w:p w14:paraId="3AD72687" w14:textId="77777777" w:rsidR="003743EC" w:rsidRDefault="00000000">
            <w:r>
              <w:t>Suchman (1995)</w:t>
            </w:r>
          </w:p>
        </w:tc>
      </w:tr>
      <w:tr w:rsidR="003743EC" w14:paraId="66ADC0E4" w14:textId="77777777" w:rsidTr="0022200D">
        <w:tc>
          <w:tcPr>
            <w:tcW w:w="2802" w:type="dxa"/>
          </w:tcPr>
          <w:p w14:paraId="4353C7B4" w14:textId="77777777" w:rsidR="003743EC" w:rsidRDefault="00000000">
            <w:r>
              <w:t>Terminal Valuation / ESG link</w:t>
            </w:r>
          </w:p>
        </w:tc>
        <w:tc>
          <w:tcPr>
            <w:tcW w:w="2835" w:type="dxa"/>
          </w:tcPr>
          <w:p w14:paraId="002128B9" w14:textId="77777777" w:rsidR="003743EC" w:rsidRDefault="00000000">
            <w:r>
              <w:t>ESG-Value Research</w:t>
            </w:r>
          </w:p>
        </w:tc>
        <w:tc>
          <w:tcPr>
            <w:tcW w:w="3260" w:type="dxa"/>
          </w:tcPr>
          <w:p w14:paraId="1323FD01" w14:textId="77777777" w:rsidR="003743EC" w:rsidRDefault="00000000">
            <w:r>
              <w:t>Eccles, Ioannou &amp; Serafeim (2014)</w:t>
            </w:r>
          </w:p>
        </w:tc>
      </w:tr>
      <w:tr w:rsidR="003743EC" w14:paraId="1399AEFD" w14:textId="77777777" w:rsidTr="0022200D">
        <w:tc>
          <w:tcPr>
            <w:tcW w:w="2802" w:type="dxa"/>
          </w:tcPr>
          <w:p w14:paraId="32CDD582" w14:textId="77777777" w:rsidR="003743EC" w:rsidRDefault="00000000">
            <w:r>
              <w:t>Corporate Archetype Labels</w:t>
            </w:r>
          </w:p>
        </w:tc>
        <w:tc>
          <w:tcPr>
            <w:tcW w:w="2835" w:type="dxa"/>
          </w:tcPr>
          <w:p w14:paraId="1D84B0C0" w14:textId="77777777" w:rsidR="003743EC" w:rsidRDefault="00000000">
            <w:r>
              <w:t>Narrative Learning</w:t>
            </w:r>
          </w:p>
        </w:tc>
        <w:tc>
          <w:tcPr>
            <w:tcW w:w="3260" w:type="dxa"/>
          </w:tcPr>
          <w:p w14:paraId="067D6509" w14:textId="77777777" w:rsidR="003743EC" w:rsidRDefault="00000000">
            <w:r>
              <w:t>Bruner (1991)</w:t>
            </w:r>
          </w:p>
        </w:tc>
      </w:tr>
      <w:tr w:rsidR="003743EC" w14:paraId="61CA54F0" w14:textId="77777777" w:rsidTr="0022200D">
        <w:tc>
          <w:tcPr>
            <w:tcW w:w="2802" w:type="dxa"/>
          </w:tcPr>
          <w:p w14:paraId="09DAD38A" w14:textId="77777777" w:rsidR="003743EC" w:rsidRDefault="00000000">
            <w:r>
              <w:t>SDG Deep Track M_SDG</w:t>
            </w:r>
          </w:p>
        </w:tc>
        <w:tc>
          <w:tcPr>
            <w:tcW w:w="2835" w:type="dxa"/>
          </w:tcPr>
          <w:p w14:paraId="2AF20E61" w14:textId="77777777" w:rsidR="003743EC" w:rsidRDefault="00000000">
            <w:r>
              <w:t>Sustainable Development Goals</w:t>
            </w:r>
          </w:p>
        </w:tc>
        <w:tc>
          <w:tcPr>
            <w:tcW w:w="3260" w:type="dxa"/>
          </w:tcPr>
          <w:p w14:paraId="231E7063" w14:textId="77777777" w:rsidR="003743EC" w:rsidRDefault="00000000">
            <w:r>
              <w:t>UN (2015)</w:t>
            </w:r>
          </w:p>
        </w:tc>
      </w:tr>
      <w:tr w:rsidR="003743EC" w14:paraId="52BE6B5F" w14:textId="77777777" w:rsidTr="0022200D">
        <w:tc>
          <w:tcPr>
            <w:tcW w:w="2802" w:type="dxa"/>
          </w:tcPr>
          <w:p w14:paraId="2A296643" w14:textId="77777777" w:rsidR="003743EC" w:rsidRDefault="00000000">
            <w:r>
              <w:t xml:space="preserve">BRSR Side Track</w:t>
            </w:r>
          </w:p>
        </w:tc>
        <w:tc>
          <w:tcPr>
            <w:tcW w:w="2835" w:type="dxa"/>
          </w:tcPr>
          <w:p w14:paraId="1144E179" w14:textId="77777777" w:rsidR="003743EC" w:rsidRDefault="00000000">
            <w:r>
              <w:t>NGRBC / BRSR</w:t>
            </w:r>
          </w:p>
        </w:tc>
        <w:tc>
          <w:tcPr>
            <w:tcW w:w="3260" w:type="dxa"/>
          </w:tcPr>
          <w:p w14:paraId="1A8A9D3A" w14:textId="77777777" w:rsidR="003743EC" w:rsidRDefault="00000000">
            <w:r>
              <w:t>SEBI (2021) / MCA (2019)</w:t>
            </w:r>
          </w:p>
        </w:tc>
      </w:tr>
      <w:tr w:rsidR="003743EC" w14:paraId="2326AC4C" w14:textId="77777777" w:rsidTr="0022200D">
        <w:tc>
          <w:tcPr>
            <w:tcW w:w="2802" w:type="dxa"/>
          </w:tcPr>
          <w:p w14:paraId="6E2A0947" w14:textId="77777777" w:rsidR="003743EC" w:rsidRDefault="00000000">
            <w:r>
              <w:t>Expert Regulatory Sandbox</w:t>
            </w:r>
          </w:p>
        </w:tc>
        <w:tc>
          <w:tcPr>
            <w:tcW w:w="2835" w:type="dxa"/>
          </w:tcPr>
          <w:p w14:paraId="5DB2ECF7" w14:textId="77777777" w:rsidR="003743EC" w:rsidRDefault="00000000">
            <w:r>
              <w:t>Policy Design / Bloom L6</w:t>
            </w:r>
          </w:p>
        </w:tc>
        <w:tc>
          <w:tcPr>
            <w:tcW w:w="3260" w:type="dxa"/>
          </w:tcPr>
          <w:p w14:paraId="3439A975" w14:textId="77777777" w:rsidR="003743EC" w:rsidRDefault="00000000">
            <w:r>
              <w:t>Bloom et al. (1956)</w:t>
            </w:r>
          </w:p>
        </w:tc>
      </w:tr>
    </w:tbl>
    <w:p w14:paraId="5CDCE5E6" w14:textId="77777777" w:rsidR="00CE26CC" w:rsidRDefault="00CE26CC">
      <w:pPr>
        <w:pStyle w:val="Heading2"/>
        <w:sectPr w:rsidR="00CE26CC" w:rsidSect="005A7B8D">
          <w:pgSz w:w="12240" w:h="15840"/>
          <w:pgMar w:top="993" w:right="1800" w:bottom="1440" w:left="1800" w:header="720" w:footer="720" w:gutter="0"/>
          <w:cols w:space="720"/>
          <w:docGrid w:linePitch="360"/>
        </w:sectPr>
      </w:pPr>
      <w:bookmarkStart w:id="122" w:name="facilitation-notes-common-failure-modes"/>
      <w:bookmarkStart w:id="123" w:name="_Toc232946743"/>
      <w:bookmarkEnd w:id="120"/>
    </w:p>
    <w:p w14:paraId="01CFB671" w14:textId="77777777" w:rsidR="003743EC" w:rsidRDefault="00000000">
      <w:pPr>
        <w:pStyle w:val="Heading2"/>
      </w:pPr>
      <w:r>
        <w:lastRenderedPageBreak/>
        <w:t>13. Facilitation Notes — Common Failure Modes</w:t>
      </w:r>
      <w:bookmarkEnd w:id="123"/>
    </w:p>
    <w:p w14:paraId="1896C71F" w14:textId="77777777" w:rsidR="003743EC" w:rsidRDefault="00000000">
      <w:r>
        <w:t>This section documents the most common facilitation failure modes observed across cohort deployments, and the design responses built into the system.</w:t>
      </w:r>
    </w:p>
    <w:p w14:paraId="6B61C156" w14:textId="77777777" w:rsidR="003743EC" w:rsidRDefault="00000000">
      <w:pPr>
        <w:pStyle w:val="Heading3"/>
      </w:pPr>
      <w:bookmarkStart w:id="124" w:name="teams-that-play-to-win-not-to-learn"/>
      <w:bookmarkStart w:id="125" w:name="_Toc232946744"/>
      <w:r>
        <w:t>13.1 Teams That Play to Win, Not to Learn</w:t>
      </w:r>
      <w:bookmarkEnd w:id="125"/>
    </w:p>
    <w:p w14:paraId="2042DF41" w14:textId="77777777" w:rsidR="003743EC" w:rsidRDefault="00000000">
      <w:r>
        <w:rPr>
          <w:b/>
          <w:bCs/>
        </w:rPr>
        <w:t>Failure mode:</w:t>
      </w:r>
      <w:r>
        <w:t xml:space="preserve"> Teams treat the simulation as a competitive game and optimise for terminal valuation at the expense of engagement with the learning content (journal responses, materiality exercise, side tracks).</w:t>
      </w:r>
    </w:p>
    <w:p w14:paraId="407B8061" w14:textId="77777777" w:rsidR="003743EC" w:rsidRDefault="00000000">
      <w:pPr>
        <w:pStyle w:val="BodyText"/>
      </w:pPr>
      <w:r>
        <w:rPr>
          <w:b/>
          <w:bCs/>
        </w:rPr>
        <w:t>Design response:</w:t>
      </w:r>
      <w:r>
        <w:t xml:space="preserve"> The CEO Interview accounts for 50% of reflection score, and the simulation data alignment component means that teams cannot produce high-quality CEO Interview responses without having genuinely engaged with the simulation’s content. Terminal valuation alone does not determine the composite grade.</w:t>
      </w:r>
    </w:p>
    <w:p w14:paraId="5CF8D2D1" w14:textId="77777777" w:rsidR="003743EC" w:rsidRDefault="00000000">
      <w:pPr>
        <w:pStyle w:val="BodyText"/>
      </w:pPr>
      <w:r>
        <w:rPr>
          <w:b/>
          <w:bCs/>
        </w:rPr>
        <w:t>Facilitation response:</w:t>
      </w:r>
      <w:r>
        <w:t xml:space="preserve"> In the R4 or R5 debrief, redirect competitive teams by asking: “What would you tell your Board of Directors about why your strategy is right? You’ll need to answer that question in your CEO Interview.” This reframes the goal from “win the simulation” to “be able to explain your decisions coherently.”</w:t>
      </w:r>
    </w:p>
    <w:p w14:paraId="50BC8400" w14:textId="77777777" w:rsidR="003743EC" w:rsidRDefault="00000000">
      <w:pPr>
        <w:pStyle w:val="Heading3"/>
      </w:pPr>
      <w:bookmarkStart w:id="126" w:name="Xa75b4fd3be77510b170bad18af1489b5091ea8a"/>
      <w:bookmarkStart w:id="127" w:name="_Toc232946745"/>
      <w:bookmarkEnd w:id="124"/>
      <w:r>
        <w:t>13.2 Teams That Select All Greenwashing Options</w:t>
      </w:r>
      <w:bookmarkEnd w:id="127"/>
    </w:p>
    <w:p w14:paraId="6B20D94D" w14:textId="77777777" w:rsidR="003743EC" w:rsidRDefault="00000000">
      <w:r>
        <w:rPr>
          <w:b/>
          <w:bCs/>
        </w:rPr>
        <w:t>Failure mode:</w:t>
      </w:r>
      <w:r>
        <w:t xml:space="preserve"> Teams systematically select pro-ESG crisis options without financial backing, accumulating greenwashing flags.</w:t>
      </w:r>
    </w:p>
    <w:p w14:paraId="663D4EFD" w14:textId="77777777" w:rsidR="003743EC" w:rsidRDefault="00000000">
      <w:pPr>
        <w:pStyle w:val="BodyText"/>
      </w:pPr>
      <w:r>
        <w:rPr>
          <w:b/>
          <w:bCs/>
        </w:rPr>
        <w:t>Design response:</w:t>
      </w:r>
      <w:r>
        <w:t xml:space="preserve"> The minus 15 reputation penalty per greenwashing event is calibrated to create a visible crisis by R5–R6 at the latest. The </w:t>
      </w:r>
      <w:r>
        <w:rPr>
          <w:rStyle w:val="VerbatimChar"/>
        </w:rPr>
        <w:t>greenwashing_detected</w:t>
      </w:r>
      <w:r>
        <w:t xml:space="preserve"> flag also reduces M_R significantly, so even if teams recover their treasury, their final ESG score is materially depressed.</w:t>
      </w:r>
    </w:p>
    <w:p w14:paraId="590C2F07" w14:textId="77777777" w:rsidR="003743EC" w:rsidRDefault="00000000">
      <w:pPr>
        <w:pStyle w:val="BodyText"/>
      </w:pPr>
      <w:r>
        <w:rPr>
          <w:b/>
          <w:bCs/>
        </w:rPr>
        <w:t>Facilitation response:</w:t>
      </w:r>
      <w:r>
        <w:t xml:space="preserve"> In the greenwashing BRM, ask: “Who made the decision to announce this commitment? Did they have the budget authorisation to back it up? What does this tell you about the relationship between sustainability communications and sustainability governance?”</w:t>
      </w:r>
    </w:p>
    <w:p w14:paraId="437507B2" w14:textId="77777777" w:rsidR="003743EC" w:rsidRDefault="00000000">
      <w:pPr>
        <w:pStyle w:val="Heading3"/>
      </w:pPr>
      <w:bookmarkStart w:id="128" w:name="the-last-round-sprint-failure-mode"/>
      <w:bookmarkStart w:id="129" w:name="_Toc232946746"/>
      <w:bookmarkEnd w:id="126"/>
      <w:r>
        <w:t>13.3 The Last-Round Sprint Failure Mode</w:t>
      </w:r>
      <w:bookmarkEnd w:id="129"/>
    </w:p>
    <w:p w14:paraId="7BB4FD92" w14:textId="77777777" w:rsidR="003743EC" w:rsidRDefault="00000000">
      <w:r>
        <w:rPr>
          <w:b/>
          <w:bCs/>
        </w:rPr>
        <w:t>Failure mode:</w:t>
      </w:r>
      <w:r>
        <w:t xml:space="preserve"> Teams that recognise late in the simulation that JT factor, HR investment, and NCD management are important attempt to compensate in R8–10 with maximum investment.</w:t>
      </w:r>
    </w:p>
    <w:p w14:paraId="6970B5EF" w14:textId="77777777" w:rsidR="003743EC" w:rsidRDefault="00000000">
      <w:pPr>
        <w:pStyle w:val="BodyText"/>
      </w:pPr>
      <w:r>
        <w:rPr>
          <w:b/>
          <w:bCs/>
        </w:rPr>
        <w:t>Design response:</w:t>
      </w:r>
      <w:r>
        <w:t xml:space="preserve"> The JT scaling formula and NCD compounding are specifically calibrated to make last-round sprints visible but insufficient. Teams can improve their position in R8–10 but cannot fully recover the compound disadvantage of low early investment.</w:t>
      </w:r>
    </w:p>
    <w:p w14:paraId="2400813F" w14:textId="77777777" w:rsidR="003743EC" w:rsidRDefault="00000000">
      <w:pPr>
        <w:pStyle w:val="BodyText"/>
      </w:pPr>
      <w:r>
        <w:rPr>
          <w:b/>
          <w:bCs/>
        </w:rPr>
        <w:t>Facilitation response:</w:t>
      </w:r>
      <w:r>
        <w:t xml:space="preserve"> Use this as a teaching moment in R10 debrief: “If you were actually the CEO of this company, you’d have ten years of real decisions behind you that couldn’t be changed. What does this tell you about the relationship between governance quality and time?”</w:t>
      </w:r>
    </w:p>
    <w:p w14:paraId="426B052F" w14:textId="77777777" w:rsidR="003743EC" w:rsidRDefault="00000000">
      <w:pPr>
        <w:pStyle w:val="Heading3"/>
      </w:pPr>
      <w:bookmarkStart w:id="130" w:name="overconfident-advanced-cohorts"/>
      <w:bookmarkStart w:id="131" w:name="_Toc232946747"/>
      <w:bookmarkEnd w:id="128"/>
      <w:r>
        <w:t>13.4 Overconfident Advanced Cohorts</w:t>
      </w:r>
      <w:bookmarkEnd w:id="131"/>
    </w:p>
    <w:p w14:paraId="1EB2B7DD" w14:textId="77777777" w:rsidR="003743EC" w:rsidRDefault="00000000">
      <w:r>
        <w:rPr>
          <w:b/>
          <w:bCs/>
        </w:rPr>
        <w:t>Failure mode:</w:t>
      </w:r>
      <w:r>
        <w:t xml:space="preserve"> Advanced or Expert cohorts with strong ESG background knowledge assume they can “solve” the simulation by applying framework knowledge — and are surprised when outcomes diverge from expectations.</w:t>
      </w:r>
    </w:p>
    <w:p w14:paraId="49446051" w14:textId="77777777" w:rsidR="003743EC" w:rsidRDefault="00000000">
      <w:pPr>
        <w:pStyle w:val="BodyText"/>
      </w:pPr>
      <w:r>
        <w:rPr>
          <w:b/>
          <w:bCs/>
        </w:rPr>
        <w:lastRenderedPageBreak/>
        <w:t>Design response:</w:t>
      </w:r>
      <w:r>
        <w:t xml:space="preserve"> The Fog of War mechanic (R1–R3), stochastic Black Swan events, and the pathway concealment system ensure that framework knowledge alone is insufficient. The simulation rewards judgment under uncertainty, not textbook application.</w:t>
      </w:r>
    </w:p>
    <w:p w14:paraId="5F2FE4C2" w14:textId="77777777" w:rsidR="003743EC" w:rsidRDefault="00000000">
      <w:pPr>
        <w:pStyle w:val="BodyText"/>
      </w:pPr>
      <w:r>
        <w:rPr>
          <w:b/>
          <w:bCs/>
        </w:rPr>
        <w:t>Facilitation response:</w:t>
      </w:r>
      <w:r>
        <w:t xml:space="preserve"> When overconfident cohorts encounter unexpected outcomes, use the Kahneman framing: “You knew the theory. Why did System 1 still drive that decision? What does it tell you that expertise doesn’t automatically prevent cognitive bias?”</w:t>
      </w:r>
    </w:p>
    <w:p w14:paraId="4B67BE71" w14:textId="5D5FB101" w:rsidR="003743EC" w:rsidRDefault="003743EC"/>
    <w:p w14:paraId="3B16645B" w14:textId="77777777" w:rsidR="00CE26CC" w:rsidRDefault="00CE26CC">
      <w:pPr>
        <w:pStyle w:val="Heading2"/>
        <w:sectPr w:rsidR="00CE26CC" w:rsidSect="005A7B8D">
          <w:pgSz w:w="12240" w:h="15840"/>
          <w:pgMar w:top="993" w:right="1800" w:bottom="1440" w:left="1800" w:header="720" w:footer="720" w:gutter="0"/>
          <w:cols w:space="720"/>
          <w:docGrid w:linePitch="360"/>
        </w:sectPr>
      </w:pPr>
      <w:bookmarkStart w:id="132" w:name="X7da3c4f9b31b302c97d3c6f58a35edf60fb49a0"/>
      <w:bookmarkStart w:id="133" w:name="_Toc232946748"/>
      <w:bookmarkEnd w:id="122"/>
      <w:bookmarkEnd w:id="130"/>
    </w:p>
    <w:p w14:paraId="6601D854" w14:textId="77777777" w:rsidR="003743EC" w:rsidRDefault="00000000">
      <w:pPr>
        <w:pStyle w:val="Heading2"/>
      </w:pPr>
      <w:r>
        <w:lastRenderedPageBreak/>
        <w:t>14. Design Decisions Log — Frequently Asked Questions</w:t>
      </w:r>
      <w:bookmarkEnd w:id="133"/>
    </w:p>
    <w:p w14:paraId="6FD50234" w14:textId="77777777" w:rsidR="003743EC" w:rsidRDefault="00000000">
      <w:r>
        <w:rPr>
          <w:b/>
          <w:bCs/>
        </w:rPr>
        <w:t>Q: Why 10 rounds?</w:t>
      </w:r>
      <w:r>
        <w:br/>
        <w:t>A: Ten rounds was the minimum necessary to accommodate the full Kolb cycle arc across all learning objective domains (Rounds 1–3: ESG literacy; 4–7: systems thinking; 8–10: integration). Shorter simulations (5–6 rounds) cannot accommodate the R1 to R4 cascade delay and the Just Transition compounding mechanic simultaneously. Longer simulations (12–15 rounds) create facilitation fatigue and reduce the density of learning per round.</w:t>
      </w:r>
    </w:p>
    <w:p w14:paraId="59C2701D" w14:textId="77777777" w:rsidR="003743EC" w:rsidRDefault="00000000">
      <w:pPr>
        <w:pStyle w:val="BodyText"/>
      </w:pPr>
      <w:r>
        <w:rPr>
          <w:b/>
          <w:bCs/>
        </w:rPr>
        <w:t>Q: Why not let players see the pathway from the start?</w:t>
      </w:r>
      <w:r>
        <w:br/>
        <w:t>A: Concealment is essential for ensuring that decisions are made under genuine uncertainty. Revealing the pathway at the start would transform the simulation into an optimisation problem rather than a judgment development exercise. The pedagogical value lies precisely in the navigation of uncertainty, not in the discovery of an optimal pathway-specific strategy.</w:t>
      </w:r>
    </w:p>
    <w:p w14:paraId="1353DFAE" w14:textId="77777777" w:rsidR="003743EC" w:rsidRDefault="00000000">
      <w:pPr>
        <w:pStyle w:val="BodyText"/>
      </w:pPr>
      <w:r>
        <w:rPr>
          <w:b/>
          <w:bCs/>
        </w:rPr>
        <w:t>Q: Why is the materiality exercise only in R2?</w:t>
      </w:r>
      <w:r>
        <w:br/>
        <w:t>A: The Double Materiality Matrix is placed in R2 because R2 is when it is most contextually relevant — teams have just completed their initial stakeholder map (R1) and are now facing the question of which topics to prioritise in their ESG strategy. Placing it in a later round would reduce its pedagogical coherence with the R1 stakeholder mapping content and its connection to the CSRD/ESRS 1 regulatory framing.</w:t>
      </w:r>
    </w:p>
    <w:p w14:paraId="13B8D335" w14:textId="77777777" w:rsidR="003743EC" w:rsidRDefault="00000000">
      <w:pPr>
        <w:pStyle w:val="BodyText"/>
      </w:pPr>
      <w:r>
        <w:rPr>
          <w:b/>
          <w:bCs/>
        </w:rPr>
        <w:t>Q: Why does the greenwashing penalty apply even if the team “meant well”?</w:t>
      </w:r>
      <w:r>
        <w:br/>
        <w:t>A: Intent is not the relevant variable in Legitimacy Theory — behaviour and outcomes are. A company that announces a net-zero commitment without the investment to back it up creates the same legitimacy gap regardless of whether its leadership intended to greenwash or merely failed to align its communications with its capital allocation. The simulation models the stakeholder response to the behaviour, not the intention behind it.</w:t>
      </w:r>
    </w:p>
    <w:p w14:paraId="348B4630" w14:textId="77777777" w:rsidR="003743EC" w:rsidRDefault="00000000">
      <w:pPr>
        <w:pStyle w:val="BodyText"/>
      </w:pPr>
      <w:r>
        <w:rPr>
          <w:b/>
          <w:bCs/>
        </w:rPr>
        <w:t>Q: Why is the M_R mostly determined in R1–R7?</w:t>
      </w:r>
      <w:r>
        <w:br/>
        <w:t>A: This reflects the empirical reality that ESG reputation and governance quality are built over years of consistent practice, not reversed by late-stage commitments. The design is deliberately resistant to last-round remediation to incentivise consistent governance quality across the full simulation arc.</w:t>
      </w:r>
    </w:p>
    <w:p w14:paraId="5E10602D" w14:textId="77777777" w:rsidR="003743EC" w:rsidRDefault="00000000">
      <w:pPr>
        <w:pStyle w:val="BodyText"/>
      </w:pPr>
      <w:r>
        <w:rPr>
          <w:b/>
          <w:bCs/>
        </w:rPr>
        <w:t>Q: Can the simulation be run without a facilitator?</w:t>
      </w:r>
      <w:r>
        <w:br/>
        <w:t xml:space="preserve">A: The simulation’s core mechanics can be completed without a live facilitator — the AI Podcast, CEO Diary, BRM prompts, and journal questions provide substantial learning scaffolding. However, the Board Room Moments and R4 debrief in particular benefit significantly from skilled facilitation. The simulation is designed to be most effective in blended delivery: asynchronous gameplay with synchronous facilitated debrief at R4, R7, and R10 minimum.</w:t>
      </w:r>
    </w:p>
    <w:p w14:paraId="354675CA" w14:textId="6514CD99" w:rsidR="003743EC" w:rsidRDefault="003743EC"/>
    <w:p>
      <w:pPr>
        <w:pStyle w:val="Heading2"/>
      </w:pPr>
      <w:bookmarkStart w:id="220" w:name="role-model-access-control-rbac"/>
      <w:r>
        <w:t xml:space="preserve">15. Role Model &amp; Access Control (RBAC)</w:t>
      </w:r>
      <w:bookmarkEnd w:id="220"/>
    </w:p>
    <w:p>
      <w:pPr>
        <w:pStyle w:val="BodyText"/>
      </w:pPr>
      <w:r>
        <w:t xml:space="preserve">This section documents the platform’s authorization model — the roles that operate the simulation, the privilege hierarchy, and the rights each role holds. It reflects the implemented state of the system. The authoritative source of truth is </w:t>
      </w:r>
      <w:r>
        <w:rPr>
          <w:rStyle w:val="VerbatimChar"/>
        </w:rPr>
        <w:t xml:space="preserve">ROLE_HIERARCHY</w:t>
      </w:r>
      <w:r>
        <w:t xml:space="preserve"> in </w:t>
      </w:r>
      <w:r>
        <w:rPr>
          <w:rStyle w:val="VerbatimChar"/>
        </w:rPr>
        <w:t xml:space="preserve">backend/admin_shared.py</w:t>
      </w:r>
      <w:r>
        <w:t xml:space="preserve"> (levels) together with the </w:t>
      </w:r>
      <w:r>
        <w:rPr>
          <w:rStyle w:val="VerbatimChar"/>
        </w:rPr>
        <w:t xml:space="preserve">require_*</w:t>
      </w:r>
      <w:r>
        <w:t xml:space="preserve"> guards in </w:t>
      </w:r>
      <w:r>
        <w:rPr>
          <w:rStyle w:val="VerbatimChar"/>
        </w:rPr>
        <w:t xml:space="preserve">backend/admin_router.py</w:t>
      </w:r>
      <w:r>
        <w:t xml:space="preserve"> (enforcement); the frontend mirror in </w:t>
      </w:r>
      <w:r>
        <w:rPr>
          <w:rStyle w:val="VerbatimChar"/>
        </w:rPr>
        <w:t xml:space="preserve">frontend/app/config/sidebarConfig.js</w:t>
      </w:r>
      <w:r>
        <w:t xml:space="preserve"> is pinned equal to the backend by the drift tripwire </w:t>
      </w:r>
      <w:r>
        <w:rPr>
          <w:rStyle w:val="VerbatimChar"/>
        </w:rPr>
        <w:t xml:space="preserve">backend/tests/test_role_hierarchy_sync.py</w:t>
      </w:r>
      <w:r>
        <w:t xml:space="preserve">.</w:t>
      </w:r>
    </w:p>
    <w:p>
      <w:pPr>
        <w:pStyle w:val="Heading3"/>
      </w:pPr>
      <w:bookmarkStart w:id="221" w:name="overview-two-realms"/>
      <w:r>
        <w:t xml:space="preserve">15.1 Overview — Two Realms</w:t>
      </w:r>
      <w:bookmarkEnd w:id="221"/>
    </w:p>
    <w:p>
      <w:pPr>
        <w:pStyle w:val="BodyText"/>
      </w:pPr>
      <w:r>
        <w:t xml:space="preserve">The platform separates authorization into two independent realms. The </w:t>
      </w:r>
      <w:r>
        <w:rPr>
          <w:b/>
        </w:rPr>
        <w:t xml:space="preserve">facilitator/admin realm</w:t>
      </w:r>
      <w:r>
        <w:t xml:space="preserve"> is a single linear ladder of six role strings on five numeric levels, resolved from a signed JWT cookie. The </w:t>
      </w:r>
      <w:r>
        <w:rPr>
          <w:b/>
        </w:rPr>
        <w:t xml:space="preserve">player realm</w:t>
      </w:r>
      <w:r>
        <w:t xml:space="preserve"> is entirely separate: players are not part of the role hierarchy at all — they authenticate with a Player ID and are bound to their session by the SEC-3 ownership check (the </w:t>
      </w:r>
      <w:r>
        <w:rPr>
          <w:rStyle w:val="VerbatimChar"/>
        </w:rPr>
        <w:t xml:space="preserve">X-Player-Id</w:t>
      </w:r>
      <w:r>
        <w:t xml:space="preserve"> header). A facilitator role is never a player and a player is never a facilitator.</w:t>
      </w:r>
    </w:p>
    <w:p>
      <w:pPr>
        <w:pStyle w:val="BodyText"/>
      </w:pPr>
      <w:r>
        <w:t xml:space="preserve">Three admin identities are </w:t>
      </w:r>
      <w:r>
        <w:rPr>
          <w:b/>
        </w:rPr>
        <w:t xml:space="preserve">virtual</w:t>
      </w:r>
      <w:r>
        <w:t xml:space="preserve"> — they are not stored in the facilitator registry and are granted only from a signed token or an environment password: </w:t>
      </w:r>
      <w:r>
        <w:rPr>
          <w:rStyle w:val="VerbatimChar"/>
        </w:rPr>
        <w:t xml:space="preserve">god_mode</w:t>
      </w:r>
      <w:r>
        <w:t xml:space="preserve">, the master </w:t>
      </w:r>
      <w:r>
        <w:rPr>
          <w:rStyle w:val="VerbatimChar"/>
        </w:rPr>
        <w:t xml:space="preserve">facilitator</w:t>
      </w:r>
      <w:r>
        <w:t xml:space="preserve"> login, and </w:t>
      </w:r>
      <w:r>
        <w:rPr>
          <w:rStyle w:val="VerbatimChar"/>
        </w:rPr>
        <w:t xml:space="preserve">project_admin</w:t>
      </w:r>
      <w:r>
        <w:t xml:space="preserve">.</w:t>
      </w:r>
    </w:p>
    <w:p>
      <w:pPr>
        <w:pStyle w:val="Heading3"/>
      </w:pPr>
      <w:bookmarkStart w:id="222" w:name="role-catalog"/>
      <w:r>
        <w:t xml:space="preserve">15.2 Role Catalog</w:t>
      </w:r>
      <w:bookmarkEnd w:id="2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00"/>
        <w:gridCol w:w="700"/>
        <w:gridCol w:w="1600"/>
        <w:gridCol w:w="2340"/>
        <w:gridCol w:w="2440"/>
      </w:tblGrid>
      <w:tr>
        <w:trPr>
          <w:tblHeader/>
        </w:trPr>
        <w:tc>
          <w:tcPr>
            <w:tcW w:w="1800" w:type="dxa"/>
          </w:tcPr>
          <w:p>
            <w:pPr>
              <w:keepNext/>
            </w:pPr>
            <w:r>
              <w:rPr>
                <w:b/>
              </w:rPr>
              <w:t xml:space="preserve">Role</w:t>
            </w:r>
          </w:p>
        </w:tc>
        <w:tc>
          <w:tcPr>
            <w:tcW w:w="700" w:type="dxa"/>
          </w:tcPr>
          <w:p>
            <w:pPr>
              <w:keepNext/>
            </w:pPr>
            <w:r>
              <w:rPr>
                <w:b/>
              </w:rPr>
              <w:t xml:space="preserve">Level</w:t>
            </w:r>
          </w:p>
        </w:tc>
        <w:tc>
          <w:tcPr>
            <w:tcW w:w="1600" w:type="dxa"/>
          </w:tcPr>
          <w:p>
            <w:pPr>
              <w:keepNext/>
            </w:pPr>
            <w:r>
              <w:rPr>
                <w:b/>
              </w:rPr>
              <w:t xml:space="preserve">Nature</w:t>
            </w:r>
          </w:p>
        </w:tc>
        <w:tc>
          <w:tcPr>
            <w:tcW w:w="2340" w:type="dxa"/>
          </w:tcPr>
          <w:p>
            <w:pPr>
              <w:keepNext/>
            </w:pPr>
            <w:r>
              <w:rPr>
                <w:b/>
              </w:rPr>
              <w:t xml:space="preserve">Authenticated via</w:t>
            </w:r>
          </w:p>
        </w:tc>
        <w:tc>
          <w:tcPr>
            <w:tcW w:w="2440" w:type="dxa"/>
          </w:tcPr>
          <w:p>
            <w:pPr>
              <w:keepNext/>
            </w:pPr>
            <w:r>
              <w:rPr>
                <w:b/>
              </w:rPr>
              <w:t xml:space="preserve">Scope</w:t>
            </w:r>
          </w:p>
        </w:tc>
      </w:tr>
      <w:tr>
        <w:tc>
          <w:tcPr>
            <w:tcW w:w="1800" w:type="dxa"/>
          </w:tcPr>
          <w:p>
            <w:r>
              <w:t xml:space="preserve">god_mode</w:t>
            </w:r>
          </w:p>
        </w:tc>
        <w:tc>
          <w:tcPr>
            <w:tcW w:w="700" w:type="dxa"/>
          </w:tcPr>
          <w:p>
            <w:r>
              <w:t xml:space="preserve">4</w:t>
            </w:r>
          </w:p>
        </w:tc>
        <w:tc>
          <w:tcPr>
            <w:tcW w:w="1600" w:type="dxa"/>
          </w:tcPr>
          <w:p>
            <w:r>
              <w:t xml:space="preserve">Virtual break-glass identity</w:t>
            </w:r>
          </w:p>
        </w:tc>
        <w:tc>
          <w:tcPr>
            <w:tcW w:w="2340" w:type="dxa"/>
          </w:tcPr>
          <w:p>
            <w:r>
              <w:t xml:space="preserve">MASTER_PASSWORD (login id god_mode)</w:t>
            </w:r>
          </w:p>
        </w:tc>
        <w:tc>
          <w:tcPr>
            <w:tcW w:w="2440" w:type="dxa"/>
          </w:tcPr>
          <w:p>
            <w:r>
              <w:t xml:space="preserve">Global — everything</w:t>
            </w:r>
          </w:p>
        </w:tc>
      </w:tr>
      <w:tr>
        <w:tc>
          <w:tcPr>
            <w:tcW w:w="1800" w:type="dxa"/>
          </w:tcPr>
          <w:p>
            <w:r>
              <w:t xml:space="preserve">super_admin</w:t>
            </w:r>
          </w:p>
        </w:tc>
        <w:tc>
          <w:tcPr>
            <w:tcW w:w="700" w:type="dxa"/>
          </w:tcPr>
          <w:p>
            <w:r>
              <w:t xml:space="preserve">3</w:t>
            </w:r>
          </w:p>
        </w:tc>
        <w:tc>
          <w:tcPr>
            <w:tcW w:w="1600" w:type="dxa"/>
          </w:tcPr>
          <w:p>
            <w:r>
              <w:t xml:space="preserve">Registry role</w:t>
            </w:r>
          </w:p>
        </w:tc>
        <w:tc>
          <w:tcPr>
            <w:tcW w:w="2340" w:type="dxa"/>
          </w:tcPr>
          <w:p>
            <w:r>
              <w:t xml:space="preserve">Registry password (JWT cookie)</w:t>
            </w:r>
          </w:p>
        </w:tc>
        <w:tc>
          <w:tcPr>
            <w:tcW w:w="2440" w:type="dxa"/>
          </w:tcPr>
          <w:p>
            <w:r>
              <w:t xml:space="preserve">Global</w:t>
            </w:r>
          </w:p>
        </w:tc>
      </w:tr>
      <w:tr>
        <w:tc>
          <w:tcPr>
            <w:tcW w:w="1800" w:type="dxa"/>
          </w:tcPr>
          <w:p>
            <w:r>
              <w:t xml:space="preserve">admin</w:t>
            </w:r>
          </w:p>
        </w:tc>
        <w:tc>
          <w:tcPr>
            <w:tcW w:w="700" w:type="dxa"/>
          </w:tcPr>
          <w:p>
            <w:r>
              <w:t xml:space="preserve">3</w:t>
            </w:r>
          </w:p>
        </w:tc>
        <w:tc>
          <w:tcPr>
            <w:tcW w:w="1600" w:type="dxa"/>
          </w:tcPr>
          <w:p>
            <w:r>
              <w:t xml:space="preserve">Alias of super_admin</w:t>
            </w:r>
          </w:p>
        </w:tc>
        <w:tc>
          <w:tcPr>
            <w:tcW w:w="2340" w:type="dxa"/>
          </w:tcPr>
          <w:p>
            <w:r>
              <w:t xml:space="preserve">Registry password</w:t>
            </w:r>
          </w:p>
        </w:tc>
        <w:tc>
          <w:tcPr>
            <w:tcW w:w="2440" w:type="dxa"/>
          </w:tcPr>
          <w:p>
            <w:r>
              <w:t xml:space="preserve">Global</w:t>
            </w:r>
          </w:p>
        </w:tc>
      </w:tr>
      <w:tr>
        <w:tc>
          <w:tcPr>
            <w:tcW w:w="1800" w:type="dxa"/>
          </w:tcPr>
          <w:p>
            <w:r>
              <w:t xml:space="preserve">lead_facilitator</w:t>
            </w:r>
          </w:p>
        </w:tc>
        <w:tc>
          <w:tcPr>
            <w:tcW w:w="700" w:type="dxa"/>
          </w:tcPr>
          <w:p>
            <w:r>
              <w:t xml:space="preserve">2</w:t>
            </w:r>
          </w:p>
        </w:tc>
        <w:tc>
          <w:tcPr>
            <w:tcW w:w="1600" w:type="dxa"/>
          </w:tcPr>
          <w:p>
            <w:r>
              <w:t xml:space="preserve">Registry role (or virtual master login)</w:t>
            </w:r>
          </w:p>
        </w:tc>
        <w:tc>
          <w:tcPr>
            <w:tcW w:w="2340" w:type="dxa"/>
          </w:tcPr>
          <w:p>
            <w:r>
              <w:t xml:space="preserve">Registry password / MASTER_PASSWORD</w:t>
            </w:r>
          </w:p>
        </w:tc>
        <w:tc>
          <w:tcPr>
            <w:tcW w:w="2440" w:type="dxa"/>
          </w:tcPr>
          <w:p>
            <w:r>
              <w:t xml:space="preserve">Own + assigned sessions</w:t>
            </w:r>
          </w:p>
        </w:tc>
      </w:tr>
      <w:tr>
        <w:tc>
          <w:tcPr>
            <w:tcW w:w="1800" w:type="dxa"/>
          </w:tcPr>
          <w:p>
            <w:r>
              <w:t xml:space="preserve">facilitator</w:t>
            </w:r>
          </w:p>
        </w:tc>
        <w:tc>
          <w:tcPr>
            <w:tcW w:w="700" w:type="dxa"/>
          </w:tcPr>
          <w:p>
            <w:r>
              <w:t xml:space="preserve">1</w:t>
            </w:r>
          </w:p>
        </w:tc>
        <w:tc>
          <w:tcPr>
            <w:tcW w:w="1600" w:type="dxa"/>
          </w:tcPr>
          <w:p>
            <w:r>
              <w:t xml:space="preserve">Registry role</w:t>
            </w:r>
          </w:p>
        </w:tc>
        <w:tc>
          <w:tcPr>
            <w:tcW w:w="2340" w:type="dxa"/>
          </w:tcPr>
          <w:p>
            <w:r>
              <w:t xml:space="preserve">Registry password</w:t>
            </w:r>
          </w:p>
        </w:tc>
        <w:tc>
          <w:tcPr>
            <w:tcW w:w="2440" w:type="dxa"/>
          </w:tcPr>
          <w:p>
            <w:r>
              <w:t xml:space="preserve">Own sessions</w:t>
            </w:r>
          </w:p>
        </w:tc>
      </w:tr>
      <w:tr>
        <w:tc>
          <w:tcPr>
            <w:tcW w:w="1800" w:type="dxa"/>
          </w:tcPr>
          <w:p>
            <w:r>
              <w:t xml:space="preserve">project_admin</w:t>
            </w:r>
          </w:p>
        </w:tc>
        <w:tc>
          <w:tcPr>
            <w:tcW w:w="700" w:type="dxa"/>
          </w:tcPr>
          <w:p>
            <w:r>
              <w:t xml:space="preserve">0</w:t>
            </w:r>
          </w:p>
        </w:tc>
        <w:tc>
          <w:tcPr>
            <w:tcW w:w="1600" w:type="dxa"/>
          </w:tcPr>
          <w:p>
            <w:r>
              <w:t xml:space="preserve">Virtual provisioning-only role</w:t>
            </w:r>
          </w:p>
        </w:tc>
        <w:tc>
          <w:tcPr>
            <w:tcW w:w="2340" w:type="dxa"/>
          </w:tcPr>
          <w:p>
            <w:r>
              <w:t xml:space="preserve">PROJECT_ADMIN_PASSWORD</w:t>
            </w:r>
          </w:p>
        </w:tc>
        <w:tc>
          <w:tcPr>
            <w:tcW w:w="2440" w:type="dxa"/>
          </w:tcPr>
          <w:p>
            <w:r>
              <w:t xml:space="preserve">Registry + cohort provisioning; never live runs</w:t>
            </w:r>
          </w:p>
        </w:tc>
      </w:tr>
      <w:tr>
        <w:tc>
          <w:tcPr>
            <w:tcW w:w="1800" w:type="dxa"/>
          </w:tcPr>
          <w:p>
            <w:r>
              <w:t xml:space="preserve">Player</w:t>
            </w:r>
          </w:p>
        </w:tc>
        <w:tc>
          <w:tcPr>
            <w:tcW w:w="700" w:type="dxa"/>
          </w:tcPr>
          <w:p>
            <w:r>
              <w:t xml:space="preserve">—</w:t>
            </w:r>
          </w:p>
        </w:tc>
        <w:tc>
          <w:tcPr>
            <w:tcW w:w="1600" w:type="dxa"/>
          </w:tcPr>
          <w:p>
            <w:r>
              <w:t xml:space="preserve">Separate authz realm</w:t>
            </w:r>
          </w:p>
        </w:tc>
        <w:tc>
          <w:tcPr>
            <w:tcW w:w="2340" w:type="dxa"/>
          </w:tcPr>
          <w:p>
            <w:r>
              <w:t xml:space="preserve">Player ID (+ password)</w:t>
            </w:r>
          </w:p>
        </w:tc>
        <w:tc>
          <w:tcPr>
            <w:tcW w:w="2440" w:type="dxa"/>
          </w:tcPr>
          <w:p>
            <w:r>
              <w:t xml:space="preserve">A single session</w:t>
            </w:r>
          </w:p>
        </w:tc>
      </w:tr>
    </w:tbl>
    <w:p>
      <w:pPr>
        <w:pStyle w:val="BodyText"/>
      </w:pPr>
      <w:r>
        <w:rPr>
          <w:b/>
        </w:rPr>
        <w:t xml:space="preserve">god_mode</w:t>
      </w:r>
      <w:r>
        <w:t xml:space="preserve"> is the top tier and a distinct role string, not an alias of super_admin. Because level 4 exceeds super_admin’s level 3, it clears every level-gated super-admin check automatically, and all name-based admin checks use the </w:t>
      </w:r>
      <w:r>
        <w:rPr>
          <w:rStyle w:val="VerbatimChar"/>
        </w:rPr>
        <w:t xml:space="preserve">is_admin_role()</w:t>
      </w:r>
      <w:r>
        <w:t xml:space="preserve"> helper so it retains full super authority. It is never assignable to a registry facilitator. </w:t>
      </w:r>
      <w:r>
        <w:rPr>
          <w:b/>
        </w:rPr>
        <w:t xml:space="preserve">project_admin</w:t>
      </w:r>
      <w:r>
        <w:t xml:space="preserve"> is deliberately placed at level 0 — off the run ladder — so that it can never satisfy a lead- or super-gated check; its provisioning powers are granted by name (</w:t>
      </w:r>
      <w:r>
        <w:rPr>
          <w:rStyle w:val="VerbatimChar"/>
        </w:rPr>
        <w:t xml:space="preserve">require_registry_admin</w:t>
      </w:r>
      <w:r>
        <w:t xml:space="preserve">), and its exclusion from live runs is enforced by </w:t>
      </w:r>
      <w:r>
        <w:rPr>
          <w:rStyle w:val="VerbatimChar"/>
        </w:rPr>
        <w:t xml:space="preserve">require_sim_manager</w:t>
      </w:r>
      <w:r>
        <w:t xml:space="preserve">.</w:t>
      </w:r>
    </w:p>
    <w:p>
      <w:pPr>
        <w:pStyle w:val="Heading3"/>
      </w:pPr>
      <w:bookmarkStart w:id="223" w:name="the-level-ladder"/>
      <w:r>
        <w:t xml:space="preserve">15.3 The Level Ladder</w:t>
      </w:r>
      <w:bookmarkEnd w:id="223"/>
    </w:p>
    <w:p>
      <w:pPr>
        <w:pStyle w:val="BodyText"/>
      </w:pPr>
      <w:r>
        <w:t xml:space="preserve">The ordering invariants (asserted by the drift tripwire) are: god_mode outranks super_admin; admin equals super_admin; super_admin outranks lead_facilitator outranks facilitator; and project_admin sits strictly below facilitator and below lead_facilitator. Because guards look levels up by name, the numbers can be rescaled without touching guard code as long as this ordering holds and the frontend mirror matches.</w:t>
      </w:r>
    </w:p>
    <w:p>
      <w:pPr>
        <w:pStyle w:val="Heading3"/>
      </w:pPr>
      <w:bookmarkStart w:id="224" w:name="authorization-guards"/>
      <w:r>
        <w:t xml:space="preserve">15.4 Authorization Guards</w:t>
      </w:r>
      <w:bookmarkEnd w:id="224"/>
    </w:p>
    <w:p>
      <w:pPr>
        <w:pStyle w:val="BodyText"/>
      </w:pPr>
      <w:r>
        <w:t xml:space="preserve">Every administrative endpoint hangs off one of five FastAPI dependencies. “Passes” means the role is admitted through the guard.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00"/>
        <w:gridCol w:w="1650"/>
        <w:gridCol w:w="805"/>
        <w:gridCol w:w="805"/>
        <w:gridCol w:w="805"/>
        <w:gridCol w:w="805"/>
        <w:gridCol w:w="805"/>
        <w:gridCol w:w="805"/>
      </w:tblGrid>
      <w:tr>
        <w:trPr>
          <w:tblHeader/>
        </w:trPr>
        <w:tc>
          <w:tcPr>
            <w:tcW w:w="2400" w:type="dxa"/>
          </w:tcPr>
          <w:p>
            <w:pPr>
              <w:keepNext/>
            </w:pPr>
            <w:r>
              <w:rPr>
                <w:b/>
              </w:rPr>
              <w:t xml:space="preserve">Guard</w:t>
            </w:r>
          </w:p>
        </w:tc>
        <w:tc>
          <w:tcPr>
            <w:tcW w:w="1650" w:type="dxa"/>
          </w:tcPr>
          <w:p>
            <w:pPr>
              <w:keepNext/>
            </w:pPr>
            <w:r>
              <w:rPr>
                <w:b/>
              </w:rPr>
              <w:t xml:space="preserve">Rule</w:t>
            </w:r>
          </w:p>
        </w:tc>
        <w:tc>
          <w:tcPr>
            <w:tcW w:w="805" w:type="dxa"/>
          </w:tcPr>
          <w:p>
            <w:pPr>
              <w:keepNext/>
            </w:pPr>
            <w:r>
              <w:rPr>
                <w:b/>
              </w:rPr>
              <w:t xml:space="preserve">God</w:t>
            </w:r>
          </w:p>
        </w:tc>
        <w:tc>
          <w:tcPr>
            <w:tcW w:w="805" w:type="dxa"/>
          </w:tcPr>
          <w:p>
            <w:pPr>
              <w:keepNext/>
            </w:pPr>
            <w:r>
              <w:rPr>
                <w:b/>
              </w:rPr>
              <w:t xml:space="preserve">SA</w:t>
            </w:r>
          </w:p>
        </w:tc>
        <w:tc>
          <w:tcPr>
            <w:tcW w:w="805" w:type="dxa"/>
          </w:tcPr>
          <w:p>
            <w:pPr>
              <w:keepNext/>
            </w:pPr>
            <w:r>
              <w:rPr>
                <w:b/>
              </w:rPr>
              <w:t xml:space="preserve">lead</w:t>
            </w:r>
          </w:p>
        </w:tc>
        <w:tc>
          <w:tcPr>
            <w:tcW w:w="805" w:type="dxa"/>
          </w:tcPr>
          <w:p>
            <w:pPr>
              <w:keepNext/>
            </w:pPr>
            <w:r>
              <w:rPr>
                <w:b/>
              </w:rPr>
              <w:t xml:space="preserve">Fac</w:t>
            </w:r>
          </w:p>
        </w:tc>
        <w:tc>
          <w:tcPr>
            <w:tcW w:w="805" w:type="dxa"/>
          </w:tcPr>
          <w:p>
            <w:pPr>
              <w:keepNext/>
            </w:pPr>
            <w:r>
              <w:rPr>
                <w:b/>
              </w:rPr>
              <w:t xml:space="preserve">PA</w:t>
            </w:r>
          </w:p>
        </w:tc>
        <w:tc>
          <w:tcPr>
            <w:tcW w:w="805" w:type="dxa"/>
          </w:tcPr>
          <w:p>
            <w:pPr>
              <w:keepNext/>
            </w:pPr>
            <w:r>
              <w:rPr>
                <w:b/>
              </w:rPr>
              <w:t xml:space="preserve">anon</w:t>
            </w:r>
          </w:p>
        </w:tc>
      </w:tr>
      <w:tr>
        <w:tc>
          <w:tcPr>
            <w:tcW w:w="2400" w:type="dxa"/>
          </w:tcPr>
          <w:p>
            <w:r>
              <w:t xml:space="preserve">require_super_admin</w:t>
            </w:r>
          </w:p>
        </w:tc>
        <w:tc>
          <w:tcPr>
            <w:tcW w:w="1650" w:type="dxa"/>
          </w:tcPr>
          <w:p>
            <w:r>
              <w:t xml:space="preserve">level ≥ 3</w:t>
            </w:r>
          </w:p>
        </w:tc>
        <w:tc>
          <w:tcPr>
            <w:tcW w:w="805" w:type="dxa"/>
          </w:tcPr>
          <w:p>
            <w:r>
              <w:t xml:space="preserve">Yes</w:t>
            </w:r>
          </w:p>
        </w:tc>
        <w:tc>
          <w:tcPr>
            <w:tcW w:w="805" w:type="dxa"/>
          </w:tcPr>
          <w:p>
            <w:r>
              <w:t xml:space="preserve">Yes</w:t>
            </w:r>
          </w:p>
        </w:tc>
        <w:tc>
          <w:tcPr>
            <w:tcW w:w="805" w:type="dxa"/>
          </w:tcPr>
          <w:p>
            <w:r>
              <w:t xml:space="preserve">No</w:t>
            </w:r>
          </w:p>
        </w:tc>
        <w:tc>
          <w:tcPr>
            <w:tcW w:w="805" w:type="dxa"/>
          </w:tcPr>
          <w:p>
            <w:r>
              <w:t xml:space="preserve">No</w:t>
            </w:r>
          </w:p>
        </w:tc>
        <w:tc>
          <w:tcPr>
            <w:tcW w:w="805" w:type="dxa"/>
          </w:tcPr>
          <w:p>
            <w:r>
              <w:t xml:space="preserve">No</w:t>
            </w:r>
          </w:p>
        </w:tc>
        <w:tc>
          <w:tcPr>
            <w:tcW w:w="805" w:type="dxa"/>
          </w:tcPr>
          <w:p>
            <w:r>
              <w:t xml:space="preserve">No</w:t>
            </w:r>
          </w:p>
        </w:tc>
      </w:tr>
      <w:tr>
        <w:tc>
          <w:tcPr>
            <w:tcW w:w="2400" w:type="dxa"/>
          </w:tcPr>
          <w:p>
            <w:r>
              <w:t xml:space="preserve">require_lead_facilitator</w:t>
            </w:r>
          </w:p>
        </w:tc>
        <w:tc>
          <w:tcPr>
            <w:tcW w:w="1650" w:type="dxa"/>
          </w:tcPr>
          <w:p>
            <w:r>
              <w:t xml:space="preserve">level ≥ 2</w:t>
            </w:r>
          </w:p>
        </w:tc>
        <w:tc>
          <w:tcPr>
            <w:tcW w:w="805" w:type="dxa"/>
          </w:tcPr>
          <w:p>
            <w:r>
              <w:t xml:space="preserve">Yes</w:t>
            </w:r>
          </w:p>
        </w:tc>
        <w:tc>
          <w:tcPr>
            <w:tcW w:w="805" w:type="dxa"/>
          </w:tcPr>
          <w:p>
            <w:r>
              <w:t xml:space="preserve">Yes</w:t>
            </w:r>
          </w:p>
        </w:tc>
        <w:tc>
          <w:tcPr>
            <w:tcW w:w="805" w:type="dxa"/>
          </w:tcPr>
          <w:p>
            <w:r>
              <w:t xml:space="preserve">Yes</w:t>
            </w:r>
          </w:p>
        </w:tc>
        <w:tc>
          <w:tcPr>
            <w:tcW w:w="805" w:type="dxa"/>
          </w:tcPr>
          <w:p>
            <w:r>
              <w:t xml:space="preserve">No</w:t>
            </w:r>
          </w:p>
        </w:tc>
        <w:tc>
          <w:tcPr>
            <w:tcW w:w="805" w:type="dxa"/>
          </w:tcPr>
          <w:p>
            <w:r>
              <w:t xml:space="preserve">No</w:t>
            </w:r>
          </w:p>
        </w:tc>
        <w:tc>
          <w:tcPr>
            <w:tcW w:w="805" w:type="dxa"/>
          </w:tcPr>
          <w:p>
            <w:r>
              <w:t xml:space="preserve">No</w:t>
            </w:r>
          </w:p>
        </w:tc>
      </w:tr>
      <w:tr>
        <w:tc>
          <w:tcPr>
            <w:tcW w:w="2400" w:type="dxa"/>
          </w:tcPr>
          <w:p>
            <w:r>
              <w:t xml:space="preserve">require_sim_manager</w:t>
            </w:r>
          </w:p>
        </w:tc>
        <w:tc>
          <w:tcPr>
            <w:tcW w:w="1650" w:type="dxa"/>
          </w:tcPr>
          <w:p>
            <w:r>
              <w:t xml:space="preserve">authenticated, not project_admin</w:t>
            </w:r>
          </w:p>
        </w:tc>
        <w:tc>
          <w:tcPr>
            <w:tcW w:w="805" w:type="dxa"/>
          </w:tcPr>
          <w:p>
            <w:r>
              <w:t xml:space="preserve">Yes</w:t>
            </w:r>
          </w:p>
        </w:tc>
        <w:tc>
          <w:tcPr>
            <w:tcW w:w="805" w:type="dxa"/>
          </w:tcPr>
          <w:p>
            <w:r>
              <w:t xml:space="preserve">Yes</w:t>
            </w:r>
          </w:p>
        </w:tc>
        <w:tc>
          <w:tcPr>
            <w:tcW w:w="805" w:type="dxa"/>
          </w:tcPr>
          <w:p>
            <w:r>
              <w:t xml:space="preserve">Yes</w:t>
            </w:r>
          </w:p>
        </w:tc>
        <w:tc>
          <w:tcPr>
            <w:tcW w:w="805" w:type="dxa"/>
          </w:tcPr>
          <w:p>
            <w:r>
              <w:t xml:space="preserve">Yes</w:t>
            </w:r>
          </w:p>
        </w:tc>
        <w:tc>
          <w:tcPr>
            <w:tcW w:w="805" w:type="dxa"/>
          </w:tcPr>
          <w:p>
            <w:r>
              <w:t xml:space="preserve">No</w:t>
            </w:r>
          </w:p>
        </w:tc>
        <w:tc>
          <w:tcPr>
            <w:tcW w:w="805" w:type="dxa"/>
          </w:tcPr>
          <w:p>
            <w:r>
              <w:t xml:space="preserve">No</w:t>
            </w:r>
          </w:p>
        </w:tc>
      </w:tr>
      <w:tr>
        <w:tc>
          <w:tcPr>
            <w:tcW w:w="2400" w:type="dxa"/>
          </w:tcPr>
          <w:p>
            <w:r>
              <w:t xml:space="preserve">require_facilitator</w:t>
            </w:r>
          </w:p>
        </w:tc>
        <w:tc>
          <w:tcPr>
            <w:tcW w:w="1650" w:type="dxa"/>
          </w:tcPr>
          <w:p>
            <w:r>
              <w:t xml:space="preserve">any authenticated role</w:t>
            </w:r>
          </w:p>
        </w:tc>
        <w:tc>
          <w:tcPr>
            <w:tcW w:w="805" w:type="dxa"/>
          </w:tcPr>
          <w:p>
            <w:r>
              <w:t xml:space="preserve">Yes</w:t>
            </w:r>
          </w:p>
        </w:tc>
        <w:tc>
          <w:tcPr>
            <w:tcW w:w="805" w:type="dxa"/>
          </w:tcPr>
          <w:p>
            <w:r>
              <w:t xml:space="preserve">Yes</w:t>
            </w:r>
          </w:p>
        </w:tc>
        <w:tc>
          <w:tcPr>
            <w:tcW w:w="805" w:type="dxa"/>
          </w:tcPr>
          <w:p>
            <w:r>
              <w:t xml:space="preserve">Yes</w:t>
            </w:r>
          </w:p>
        </w:tc>
        <w:tc>
          <w:tcPr>
            <w:tcW w:w="805" w:type="dxa"/>
          </w:tcPr>
          <w:p>
            <w:r>
              <w:t xml:space="preserve">Yes</w:t>
            </w:r>
          </w:p>
        </w:tc>
        <w:tc>
          <w:tcPr>
            <w:tcW w:w="805" w:type="dxa"/>
          </w:tcPr>
          <w:p>
            <w:r>
              <w:t xml:space="preserve">Yes</w:t>
            </w:r>
          </w:p>
        </w:tc>
        <w:tc>
          <w:tcPr>
            <w:tcW w:w="805" w:type="dxa"/>
          </w:tcPr>
          <w:p>
            <w:r>
              <w:t xml:space="preserve">No</w:t>
            </w:r>
          </w:p>
        </w:tc>
      </w:tr>
      <w:tr>
        <w:tc>
          <w:tcPr>
            <w:tcW w:w="2400" w:type="dxa"/>
          </w:tcPr>
          <w:p>
            <w:r>
              <w:t xml:space="preserve">require_registry_admin</w:t>
            </w:r>
          </w:p>
        </w:tc>
        <w:tc>
          <w:tcPr>
            <w:tcW w:w="1650" w:type="dxa"/>
          </w:tcPr>
          <w:p>
            <w:r>
              <w:t xml:space="preserve">admin-level or project_admin</w:t>
            </w:r>
          </w:p>
        </w:tc>
        <w:tc>
          <w:tcPr>
            <w:tcW w:w="805" w:type="dxa"/>
          </w:tcPr>
          <w:p>
            <w:r>
              <w:t xml:space="preserve">Yes</w:t>
            </w:r>
          </w:p>
        </w:tc>
        <w:tc>
          <w:tcPr>
            <w:tcW w:w="805" w:type="dxa"/>
          </w:tcPr>
          <w:p>
            <w:r>
              <w:t xml:space="preserve">Yes</w:t>
            </w:r>
          </w:p>
        </w:tc>
        <w:tc>
          <w:tcPr>
            <w:tcW w:w="805" w:type="dxa"/>
          </w:tcPr>
          <w:p>
            <w:r>
              <w:t xml:space="preserve">No</w:t>
            </w:r>
          </w:p>
        </w:tc>
        <w:tc>
          <w:tcPr>
            <w:tcW w:w="805" w:type="dxa"/>
          </w:tcPr>
          <w:p>
            <w:r>
              <w:t xml:space="preserve">No</w:t>
            </w:r>
          </w:p>
        </w:tc>
        <w:tc>
          <w:tcPr>
            <w:tcW w:w="805" w:type="dxa"/>
          </w:tcPr>
          <w:p>
            <w:r>
              <w:t xml:space="preserve">Yes</w:t>
            </w:r>
          </w:p>
        </w:tc>
        <w:tc>
          <w:tcPr>
            <w:tcW w:w="805" w:type="dxa"/>
          </w:tcPr>
          <w:p>
            <w:r>
              <w:t xml:space="preserve">No</w:t>
            </w:r>
          </w:p>
        </w:tc>
      </w:tr>
    </w:tbl>
    <w:p>
      <w:pPr>
        <w:pStyle w:val="BodyText"/>
      </w:pPr>
      <w:r>
        <w:t xml:space="preserve">Supporting helpers: </w:t>
      </w:r>
      <w:r>
        <w:rPr>
          <w:rStyle w:val="VerbatimChar"/>
        </w:rPr>
        <w:t xml:space="preserve">is_admin_role(role)</w:t>
      </w:r>
      <w:r>
        <w:t xml:space="preserve"> returns true when the level is at or above super_admin (super_admin, admin, god_mode) — it replaces every </w:t>
      </w:r>
      <w:r>
        <w:rPr>
          <w:rStyle w:val="VerbatimChar"/>
        </w:rPr>
        <w:t xml:space="preserve">role == "super_admin"</w:t>
      </w:r>
      <w:r>
        <w:t xml:space="preserve"> decision so the distinct god_mode tier is never dropped; </w:t>
      </w:r>
      <w:r>
        <w:rPr>
          <w:rStyle w:val="VerbatimChar"/>
        </w:rPr>
        <w:t xml:space="preserve">owns_session()</w:t>
      </w:r>
      <w:r>
        <w:t xml:space="preserve"> grants admins access to any session and other roles only to their own; </w:t>
      </w:r>
      <w:r>
        <w:rPr>
          <w:rStyle w:val="VerbatimChar"/>
        </w:rPr>
        <w:t xml:space="preserve">assignable_roles_for(caller)</w:t>
      </w:r>
      <w:r>
        <w:t xml:space="preserve"> returns the set of roles a caller may grant (Section 15.6).</w:t>
      </w:r>
    </w:p>
    <w:p>
      <w:pPr>
        <w:pStyle w:val="Heading3"/>
      </w:pPr>
      <w:bookmarkStart w:id="225" w:name="hierarchy-rights-matrix"/>
      <w:r>
        <w:t xml:space="preserve">15.5 Hierarchy &amp; Rights Matrix</w:t>
      </w:r>
      <w:bookmarkEnd w:id="225"/>
    </w:p>
    <w:p>
      <w:pPr>
        <w:pStyle w:val="BodyText"/>
      </w:pPr>
      <w:r>
        <w:t xml:space="preserve">Capability groups by role. “Yes” means permitted and enforced in the backend; “No” means denied. god_mode is always at least equal to super_admin. The Guard column names the dependency that enforces the row. Player is a separate realm — its only permitted row is playing the simulation.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00"/>
        <w:gridCol w:w="1650"/>
        <w:gridCol w:w="805"/>
        <w:gridCol w:w="805"/>
        <w:gridCol w:w="805"/>
        <w:gridCol w:w="805"/>
        <w:gridCol w:w="805"/>
        <w:gridCol w:w="805"/>
      </w:tblGrid>
      <w:tr>
        <w:trPr>
          <w:tblHeader/>
        </w:trPr>
        <w:tc>
          <w:tcPr>
            <w:tcW w:w="2400" w:type="dxa"/>
          </w:tcPr>
          <w:p>
            <w:pPr>
              <w:keepNext/>
            </w:pPr>
            <w:r>
              <w:rPr>
                <w:b/>
              </w:rPr>
              <w:t xml:space="preserve">Capability group</w:t>
            </w:r>
          </w:p>
        </w:tc>
        <w:tc>
          <w:tcPr>
            <w:tcW w:w="1650" w:type="dxa"/>
          </w:tcPr>
          <w:p>
            <w:pPr>
              <w:keepNext/>
            </w:pPr>
            <w:r>
              <w:rPr>
                <w:b/>
              </w:rPr>
              <w:t xml:space="preserve">Guard</w:t>
            </w:r>
          </w:p>
        </w:tc>
        <w:tc>
          <w:tcPr>
            <w:tcW w:w="805" w:type="dxa"/>
          </w:tcPr>
          <w:p>
            <w:pPr>
              <w:keepNext/>
            </w:pPr>
            <w:r>
              <w:rPr>
                <w:b/>
              </w:rPr>
              <w:t xml:space="preserve">God</w:t>
            </w:r>
          </w:p>
        </w:tc>
        <w:tc>
          <w:tcPr>
            <w:tcW w:w="805" w:type="dxa"/>
          </w:tcPr>
          <w:p>
            <w:pPr>
              <w:keepNext/>
            </w:pPr>
            <w:r>
              <w:rPr>
                <w:b/>
              </w:rPr>
              <w:t xml:space="preserve">SA</w:t>
            </w:r>
          </w:p>
        </w:tc>
        <w:tc>
          <w:tcPr>
            <w:tcW w:w="805" w:type="dxa"/>
          </w:tcPr>
          <w:p>
            <w:pPr>
              <w:keepNext/>
            </w:pPr>
            <w:r>
              <w:rPr>
                <w:b/>
              </w:rPr>
              <w:t xml:space="preserve">Lead</w:t>
            </w:r>
          </w:p>
        </w:tc>
        <w:tc>
          <w:tcPr>
            <w:tcW w:w="805" w:type="dxa"/>
          </w:tcPr>
          <w:p>
            <w:pPr>
              <w:keepNext/>
            </w:pPr>
            <w:r>
              <w:rPr>
                <w:b/>
              </w:rPr>
              <w:t xml:space="preserve">Fac</w:t>
            </w:r>
          </w:p>
        </w:tc>
        <w:tc>
          <w:tcPr>
            <w:tcW w:w="805" w:type="dxa"/>
          </w:tcPr>
          <w:p>
            <w:pPr>
              <w:keepNext/>
            </w:pPr>
            <w:r>
              <w:rPr>
                <w:b/>
              </w:rPr>
              <w:t xml:space="preserve">PA</w:t>
            </w:r>
          </w:p>
        </w:tc>
        <w:tc>
          <w:tcPr>
            <w:tcW w:w="805" w:type="dxa"/>
          </w:tcPr>
          <w:p>
            <w:pPr>
              <w:keepNext/>
            </w:pPr>
            <w:r>
              <w:rPr>
                <w:b/>
              </w:rPr>
              <w:t xml:space="preserve">Player</w:t>
            </w:r>
          </w:p>
        </w:tc>
      </w:tr>
      <w:tr>
        <w:tc>
          <w:tcPr>
            <w:tcW w:w="2400" w:type="dxa"/>
          </w:tcPr>
          <w:p>
            <w:r>
              <w:t xml:space="preserve">Global engine/config (god settings, materiality defaults, archetypes, BU/stakeholder/pillar globals, decision configs, engine tunables, presets, freeze)</w:t>
            </w:r>
          </w:p>
        </w:tc>
        <w:tc>
          <w:tcPr>
            <w:tcW w:w="1650" w:type="dxa"/>
          </w:tcPr>
          <w:p>
            <w:r>
              <w:t xml:space="preserve">require_super_admin</w:t>
            </w:r>
          </w:p>
        </w:tc>
        <w:tc>
          <w:tcPr>
            <w:tcW w:w="805" w:type="dxa"/>
          </w:tcPr>
          <w:p>
            <w:r>
              <w:t xml:space="preserve">Yes</w:t>
            </w:r>
          </w:p>
        </w:tc>
        <w:tc>
          <w:tcPr>
            <w:tcW w:w="805" w:type="dxa"/>
          </w:tcPr>
          <w:p>
            <w:r>
              <w:t xml:space="preserve">Yes</w:t>
            </w:r>
          </w:p>
        </w:tc>
        <w:tc>
          <w:tcPr>
            <w:tcW w:w="805" w:type="dxa"/>
          </w:tcPr>
          <w:p>
            <w:r>
              <w:t xml:space="preserve">No</w:t>
            </w:r>
          </w:p>
        </w:tc>
        <w:tc>
          <w:tcPr>
            <w:tcW w:w="805" w:type="dxa"/>
          </w:tcPr>
          <w:p>
            <w:r>
              <w:t xml:space="preserve">No</w:t>
            </w:r>
          </w:p>
        </w:tc>
        <w:tc>
          <w:tcPr>
            <w:tcW w:w="805" w:type="dxa"/>
          </w:tcPr>
          <w:p>
            <w:r>
              <w:t xml:space="preserve">No</w:t>
            </w:r>
          </w:p>
        </w:tc>
        <w:tc>
          <w:tcPr>
            <w:tcW w:w="805" w:type="dxa"/>
          </w:tcPr>
          <w:p>
            <w:r>
              <w:t xml:space="preserve">No</w:t>
            </w:r>
          </w:p>
        </w:tc>
      </w:tr>
      <w:tr>
        <w:tc>
          <w:tcPr>
            <w:tcW w:w="2400" w:type="dxa"/>
          </w:tcPr>
          <w:p>
            <w:r>
              <w:t xml:space="preserve">Danger zone (factory reset, reset sessions, export/import, GDPR export, clear players)</w:t>
            </w:r>
          </w:p>
        </w:tc>
        <w:tc>
          <w:tcPr>
            <w:tcW w:w="1650" w:type="dxa"/>
          </w:tcPr>
          <w:p>
            <w:r>
              <w:t xml:space="preserve">require_super_admin</w:t>
            </w:r>
          </w:p>
        </w:tc>
        <w:tc>
          <w:tcPr>
            <w:tcW w:w="805" w:type="dxa"/>
          </w:tcPr>
          <w:p>
            <w:r>
              <w:t xml:space="preserve">Yes</w:t>
            </w:r>
          </w:p>
        </w:tc>
        <w:tc>
          <w:tcPr>
            <w:tcW w:w="805" w:type="dxa"/>
          </w:tcPr>
          <w:p>
            <w:r>
              <w:t xml:space="preserve">Yes</w:t>
            </w:r>
          </w:p>
        </w:tc>
        <w:tc>
          <w:tcPr>
            <w:tcW w:w="805" w:type="dxa"/>
          </w:tcPr>
          <w:p>
            <w:r>
              <w:t xml:space="preserve">No</w:t>
            </w:r>
          </w:p>
        </w:tc>
        <w:tc>
          <w:tcPr>
            <w:tcW w:w="805" w:type="dxa"/>
          </w:tcPr>
          <w:p>
            <w:r>
              <w:t xml:space="preserve">No</w:t>
            </w:r>
          </w:p>
        </w:tc>
        <w:tc>
          <w:tcPr>
            <w:tcW w:w="805" w:type="dxa"/>
          </w:tcPr>
          <w:p>
            <w:r>
              <w:t xml:space="preserve">No</w:t>
            </w:r>
          </w:p>
        </w:tc>
        <w:tc>
          <w:tcPr>
            <w:tcW w:w="805" w:type="dxa"/>
          </w:tcPr>
          <w:p>
            <w:r>
              <w:t xml:space="preserve">No</w:t>
            </w:r>
          </w:p>
        </w:tc>
      </w:tr>
      <w:tr>
        <w:tc>
          <w:tcPr>
            <w:tcW w:w="2400" w:type="dxa"/>
          </w:tcPr>
          <w:p>
            <w:r>
              <w:t xml:space="preserve">Registry admin — mutate (update/delete facilitator, change role, enable/disable, reset password, cohort limit, revoke sessions, master password)</w:t>
            </w:r>
          </w:p>
        </w:tc>
        <w:tc>
          <w:tcPr>
            <w:tcW w:w="1650" w:type="dxa"/>
          </w:tcPr>
          <w:p>
            <w:r>
              <w:t xml:space="preserve">require_super_admin</w:t>
            </w:r>
          </w:p>
        </w:tc>
        <w:tc>
          <w:tcPr>
            <w:tcW w:w="805" w:type="dxa"/>
          </w:tcPr>
          <w:p>
            <w:r>
              <w:t xml:space="preserve">Yes</w:t>
            </w:r>
          </w:p>
        </w:tc>
        <w:tc>
          <w:tcPr>
            <w:tcW w:w="805" w:type="dxa"/>
          </w:tcPr>
          <w:p>
            <w:r>
              <w:t xml:space="preserve">Yes</w:t>
            </w:r>
          </w:p>
        </w:tc>
        <w:tc>
          <w:tcPr>
            <w:tcW w:w="805" w:type="dxa"/>
          </w:tcPr>
          <w:p>
            <w:r>
              <w:t xml:space="preserve">No</w:t>
            </w:r>
          </w:p>
        </w:tc>
        <w:tc>
          <w:tcPr>
            <w:tcW w:w="805" w:type="dxa"/>
          </w:tcPr>
          <w:p>
            <w:r>
              <w:t xml:space="preserve">No</w:t>
            </w:r>
          </w:p>
        </w:tc>
        <w:tc>
          <w:tcPr>
            <w:tcW w:w="805" w:type="dxa"/>
          </w:tcPr>
          <w:p>
            <w:r>
              <w:t xml:space="preserve">No</w:t>
            </w:r>
          </w:p>
        </w:tc>
        <w:tc>
          <w:tcPr>
            <w:tcW w:w="805" w:type="dxa"/>
          </w:tcPr>
          <w:p>
            <w:r>
              <w:t xml:space="preserve">No</w:t>
            </w:r>
          </w:p>
        </w:tc>
      </w:tr>
      <w:tr>
        <w:tc>
          <w:tcPr>
            <w:tcW w:w="2400" w:type="dxa"/>
          </w:tcPr>
          <w:p>
            <w:r>
              <w:t xml:space="preserve">Registry admin — create (create facilitator, bulk/CSV/Excel)</w:t>
            </w:r>
          </w:p>
        </w:tc>
        <w:tc>
          <w:tcPr>
            <w:tcW w:w="1650" w:type="dxa"/>
          </w:tcPr>
          <w:p>
            <w:r>
              <w:t xml:space="preserve">require_registry_admin</w:t>
            </w:r>
          </w:p>
        </w:tc>
        <w:tc>
          <w:tcPr>
            <w:tcW w:w="805" w:type="dxa"/>
          </w:tcPr>
          <w:p>
            <w:r>
              <w:t xml:space="preserve">Yes</w:t>
            </w:r>
          </w:p>
        </w:tc>
        <w:tc>
          <w:tcPr>
            <w:tcW w:w="805" w:type="dxa"/>
          </w:tcPr>
          <w:p>
            <w:r>
              <w:t xml:space="preserve">Yes</w:t>
            </w:r>
          </w:p>
        </w:tc>
        <w:tc>
          <w:tcPr>
            <w:tcW w:w="805" w:type="dxa"/>
          </w:tcPr>
          <w:p>
            <w:r>
              <w:t xml:space="preserve">No</w:t>
            </w:r>
          </w:p>
        </w:tc>
        <w:tc>
          <w:tcPr>
            <w:tcW w:w="805" w:type="dxa"/>
          </w:tcPr>
          <w:p>
            <w:r>
              <w:t xml:space="preserve">No</w:t>
            </w:r>
          </w:p>
        </w:tc>
        <w:tc>
          <w:tcPr>
            <w:tcW w:w="805" w:type="dxa"/>
          </w:tcPr>
          <w:p>
            <w:r>
              <w:t xml:space="preserve">Yes¹</w:t>
            </w:r>
          </w:p>
        </w:tc>
        <w:tc>
          <w:tcPr>
            <w:tcW w:w="805" w:type="dxa"/>
          </w:tcPr>
          <w:p>
            <w:r>
              <w:t xml:space="preserve">No</w:t>
            </w:r>
          </w:p>
        </w:tc>
      </w:tr>
      <w:tr>
        <w:tc>
          <w:tcPr>
            <w:tcW w:w="2400" w:type="dxa"/>
          </w:tcPr>
          <w:p>
            <w:r>
              <w:t xml:space="preserve">Lead run interventions (manual KPI override, black-swan injection, undo round, auto-pause, per-cohort materiality, public status)</w:t>
            </w:r>
          </w:p>
        </w:tc>
        <w:tc>
          <w:tcPr>
            <w:tcW w:w="1650" w:type="dxa"/>
          </w:tcPr>
          <w:p>
            <w:r>
              <w:t xml:space="preserve">require_lead_facilitator</w:t>
            </w:r>
          </w:p>
        </w:tc>
        <w:tc>
          <w:tcPr>
            <w:tcW w:w="805" w:type="dxa"/>
          </w:tcPr>
          <w:p>
            <w:r>
              <w:t xml:space="preserve">Yes</w:t>
            </w:r>
          </w:p>
        </w:tc>
        <w:tc>
          <w:tcPr>
            <w:tcW w:w="805" w:type="dxa"/>
          </w:tcPr>
          <w:p>
            <w:r>
              <w:t xml:space="preserve">Yes</w:t>
            </w:r>
          </w:p>
        </w:tc>
        <w:tc>
          <w:tcPr>
            <w:tcW w:w="805" w:type="dxa"/>
          </w:tcPr>
          <w:p>
            <w:r>
              <w:t xml:space="preserve">Yes</w:t>
            </w:r>
          </w:p>
        </w:tc>
        <w:tc>
          <w:tcPr>
            <w:tcW w:w="805" w:type="dxa"/>
          </w:tcPr>
          <w:p>
            <w:r>
              <w:t xml:space="preserve">No</w:t>
            </w:r>
          </w:p>
        </w:tc>
        <w:tc>
          <w:tcPr>
            <w:tcW w:w="805" w:type="dxa"/>
          </w:tcPr>
          <w:p>
            <w:r>
              <w:t xml:space="preserve">No</w:t>
            </w:r>
          </w:p>
        </w:tc>
        <w:tc>
          <w:tcPr>
            <w:tcW w:w="805" w:type="dxa"/>
          </w:tcPr>
          <w:p>
            <w:r>
              <w:t xml:space="preserve">No</w:t>
            </w:r>
          </w:p>
        </w:tc>
      </w:tr>
      <w:tr>
        <w:tc>
          <w:tcPr>
            <w:tcW w:w="2400" w:type="dxa"/>
          </w:tcPr>
          <w:p>
            <w:r>
              <w:t xml:space="preserve">Live-run management (pacing/unlock, practice; player register/induct/assign/id/password; inject message, shockwave, broadcast, finale, situation-room; impersonate; grading; notes; annotations; decade-plan; what-if)</w:t>
            </w:r>
          </w:p>
        </w:tc>
        <w:tc>
          <w:tcPr>
            <w:tcW w:w="1650" w:type="dxa"/>
          </w:tcPr>
          <w:p>
            <w:r>
              <w:t xml:space="preserve">require_sim_manager</w:t>
            </w:r>
          </w:p>
        </w:tc>
        <w:tc>
          <w:tcPr>
            <w:tcW w:w="805" w:type="dxa"/>
          </w:tcPr>
          <w:p>
            <w:r>
              <w:t xml:space="preserve">Yes</w:t>
            </w:r>
          </w:p>
        </w:tc>
        <w:tc>
          <w:tcPr>
            <w:tcW w:w="805" w:type="dxa"/>
          </w:tcPr>
          <w:p>
            <w:r>
              <w:t xml:space="preserve">Yes</w:t>
            </w:r>
          </w:p>
        </w:tc>
        <w:tc>
          <w:tcPr>
            <w:tcW w:w="805" w:type="dxa"/>
          </w:tcPr>
          <w:p>
            <w:r>
              <w:t xml:space="preserve">Yes</w:t>
            </w:r>
          </w:p>
        </w:tc>
        <w:tc>
          <w:tcPr>
            <w:tcW w:w="805" w:type="dxa"/>
          </w:tcPr>
          <w:p>
            <w:r>
              <w:t xml:space="preserve">Yes</w:t>
            </w:r>
          </w:p>
        </w:tc>
        <w:tc>
          <w:tcPr>
            <w:tcW w:w="805" w:type="dxa"/>
          </w:tcPr>
          <w:p>
            <w:r>
              <w:t xml:space="preserve">No</w:t>
            </w:r>
          </w:p>
        </w:tc>
        <w:tc>
          <w:tcPr>
            <w:tcW w:w="805" w:type="dxa"/>
          </w:tcPr>
          <w:p>
            <w:r>
              <w:t xml:space="preserve">No</w:t>
            </w:r>
          </w:p>
        </w:tc>
      </w:tr>
      <w:tr>
        <w:tc>
          <w:tcPr>
            <w:tcW w:w="2400" w:type="dxa"/>
          </w:tcPr>
          <w:p>
            <w:r>
              <w:t xml:space="preserve">Cohort provisioning/config (create cohort, bu-composition, side-tracks, pacing defaults, pedagogical settings, ending-pathway, CEO-interview, vertical, pillar config, clone)</w:t>
            </w:r>
          </w:p>
        </w:tc>
        <w:tc>
          <w:tcPr>
            <w:tcW w:w="1650" w:type="dxa"/>
          </w:tcPr>
          <w:p>
            <w:r>
              <w:t xml:space="preserve">require_facilitator²</w:t>
            </w:r>
          </w:p>
        </w:tc>
        <w:tc>
          <w:tcPr>
            <w:tcW w:w="805" w:type="dxa"/>
          </w:tcPr>
          <w:p>
            <w:r>
              <w:t xml:space="preserve">Yes</w:t>
            </w:r>
          </w:p>
        </w:tc>
        <w:tc>
          <w:tcPr>
            <w:tcW w:w="805" w:type="dxa"/>
          </w:tcPr>
          <w:p>
            <w:r>
              <w:t xml:space="preserve">Yes</w:t>
            </w:r>
          </w:p>
        </w:tc>
        <w:tc>
          <w:tcPr>
            <w:tcW w:w="805" w:type="dxa"/>
          </w:tcPr>
          <w:p>
            <w:r>
              <w:t xml:space="preserve">Yes</w:t>
            </w:r>
          </w:p>
        </w:tc>
        <w:tc>
          <w:tcPr>
            <w:tcW w:w="805" w:type="dxa"/>
          </w:tcPr>
          <w:p>
            <w:r>
              <w:t xml:space="preserve">Yes</w:t>
            </w:r>
          </w:p>
        </w:tc>
        <w:tc>
          <w:tcPr>
            <w:tcW w:w="805" w:type="dxa"/>
          </w:tcPr>
          <w:p>
            <w:r>
              <w:t xml:space="preserve">Yes</w:t>
            </w:r>
          </w:p>
        </w:tc>
        <w:tc>
          <w:tcPr>
            <w:tcW w:w="805" w:type="dxa"/>
          </w:tcPr>
          <w:p>
            <w:r>
              <w:t xml:space="preserve">No</w:t>
            </w:r>
          </w:p>
        </w:tc>
      </w:tr>
      <w:tr>
        <w:tc>
          <w:tcPr>
            <w:tcW w:w="2400" w:type="dxa"/>
          </w:tcPr>
          <w:p>
            <w:r>
              <w:t xml:space="preserve">Reads / dashboards (list facilitators/players/sessions, leaderboard, reports, analytics, complexity feed, system status/health)</w:t>
            </w:r>
          </w:p>
        </w:tc>
        <w:tc>
          <w:tcPr>
            <w:tcW w:w="1650" w:type="dxa"/>
          </w:tcPr>
          <w:p>
            <w:r>
              <w:t xml:space="preserve">require_facilitator</w:t>
            </w:r>
          </w:p>
        </w:tc>
        <w:tc>
          <w:tcPr>
            <w:tcW w:w="805" w:type="dxa"/>
          </w:tcPr>
          <w:p>
            <w:r>
              <w:t xml:space="preserve">Yes</w:t>
            </w:r>
          </w:p>
        </w:tc>
        <w:tc>
          <w:tcPr>
            <w:tcW w:w="805" w:type="dxa"/>
          </w:tcPr>
          <w:p>
            <w:r>
              <w:t xml:space="preserve">Yes</w:t>
            </w:r>
          </w:p>
        </w:tc>
        <w:tc>
          <w:tcPr>
            <w:tcW w:w="805" w:type="dxa"/>
          </w:tcPr>
          <w:p>
            <w:r>
              <w:t xml:space="preserve">Yes</w:t>
            </w:r>
          </w:p>
        </w:tc>
        <w:tc>
          <w:tcPr>
            <w:tcW w:w="805" w:type="dxa"/>
          </w:tcPr>
          <w:p>
            <w:r>
              <w:t xml:space="preserve">Yes</w:t>
            </w:r>
          </w:p>
        </w:tc>
        <w:tc>
          <w:tcPr>
            <w:tcW w:w="805" w:type="dxa"/>
          </w:tcPr>
          <w:p>
            <w:r>
              <w:t xml:space="preserve">Yes³</w:t>
            </w:r>
          </w:p>
        </w:tc>
        <w:tc>
          <w:tcPr>
            <w:tcW w:w="805" w:type="dxa"/>
          </w:tcPr>
          <w:p>
            <w:r>
              <w:t xml:space="preserve">No</w:t>
            </w:r>
          </w:p>
        </w:tc>
      </w:tr>
      <w:tr>
        <w:tc>
          <w:tcPr>
            <w:tcW w:w="2400" w:type="dxa"/>
          </w:tcPr>
          <w:p>
            <w:r>
              <w:t xml:space="preserve">Auth / self (login, logout, refresh, change own password)</w:t>
            </w:r>
          </w:p>
        </w:tc>
        <w:tc>
          <w:tcPr>
            <w:tcW w:w="1650" w:type="dxa"/>
          </w:tcPr>
          <w:p>
            <w:r>
              <w:t xml:space="preserve">require_facilitator</w:t>
            </w:r>
          </w:p>
        </w:tc>
        <w:tc>
          <w:tcPr>
            <w:tcW w:w="805" w:type="dxa"/>
          </w:tcPr>
          <w:p>
            <w:r>
              <w:t xml:space="preserve">Yes</w:t>
            </w:r>
          </w:p>
        </w:tc>
        <w:tc>
          <w:tcPr>
            <w:tcW w:w="805" w:type="dxa"/>
          </w:tcPr>
          <w:p>
            <w:r>
              <w:t xml:space="preserve">Yes</w:t>
            </w:r>
          </w:p>
        </w:tc>
        <w:tc>
          <w:tcPr>
            <w:tcW w:w="805" w:type="dxa"/>
          </w:tcPr>
          <w:p>
            <w:r>
              <w:t xml:space="preserve">Yes</w:t>
            </w:r>
          </w:p>
        </w:tc>
        <w:tc>
          <w:tcPr>
            <w:tcW w:w="805" w:type="dxa"/>
          </w:tcPr>
          <w:p>
            <w:r>
              <w:t xml:space="preserve">Yes</w:t>
            </w:r>
          </w:p>
        </w:tc>
        <w:tc>
          <w:tcPr>
            <w:tcW w:w="805" w:type="dxa"/>
          </w:tcPr>
          <w:p>
            <w:r>
              <w:t xml:space="preserve">Yes</w:t>
            </w:r>
          </w:p>
        </w:tc>
        <w:tc>
          <w:tcPr>
            <w:tcW w:w="805" w:type="dxa"/>
          </w:tcPr>
          <w:p>
            <w:r>
              <w:t xml:space="preserve">Yes⁴</w:t>
            </w:r>
          </w:p>
        </w:tc>
      </w:tr>
      <w:tr>
        <w:tc>
          <w:tcPr>
            <w:tcW w:w="2400" w:type="dxa"/>
          </w:tcPr>
          <w:p>
            <w:r>
              <w:t xml:space="preserve">Cross-session data access (any session vs. only owned)</w:t>
            </w:r>
          </w:p>
        </w:tc>
        <w:tc>
          <w:tcPr>
            <w:tcW w:w="1650" w:type="dxa"/>
          </w:tcPr>
          <w:p>
            <w:r>
              <w:t xml:space="preserve">owns_session</w:t>
            </w:r>
          </w:p>
        </w:tc>
        <w:tc>
          <w:tcPr>
            <w:tcW w:w="805" w:type="dxa"/>
          </w:tcPr>
          <w:p>
            <w:r>
              <w:t xml:space="preserve">All</w:t>
            </w:r>
          </w:p>
        </w:tc>
        <w:tc>
          <w:tcPr>
            <w:tcW w:w="805" w:type="dxa"/>
          </w:tcPr>
          <w:p>
            <w:r>
              <w:t xml:space="preserve">All</w:t>
            </w:r>
          </w:p>
        </w:tc>
        <w:tc>
          <w:tcPr>
            <w:tcW w:w="805" w:type="dxa"/>
          </w:tcPr>
          <w:p>
            <w:r>
              <w:t xml:space="preserve">Own</w:t>
            </w:r>
          </w:p>
        </w:tc>
        <w:tc>
          <w:tcPr>
            <w:tcW w:w="805" w:type="dxa"/>
          </w:tcPr>
          <w:p>
            <w:r>
              <w:t xml:space="preserve">Own</w:t>
            </w:r>
          </w:p>
        </w:tc>
        <w:tc>
          <w:tcPr>
            <w:tcW w:w="805" w:type="dxa"/>
          </w:tcPr>
          <w:p>
            <w:r>
              <w:t xml:space="preserve">n/a⁵</w:t>
            </w:r>
          </w:p>
        </w:tc>
        <w:tc>
          <w:tcPr>
            <w:tcW w:w="805" w:type="dxa"/>
          </w:tcPr>
          <w:p>
            <w:r>
              <w:t xml:space="preserve">Own</w:t>
            </w:r>
          </w:p>
        </w:tc>
      </w:tr>
      <w:tr>
        <w:tc>
          <w:tcPr>
            <w:tcW w:w="2400" w:type="dxa"/>
          </w:tcPr>
          <w:p>
            <w:r>
              <w:t xml:space="preserve">Play the simulation (dashboard, commit turn, decisions)</w:t>
            </w:r>
          </w:p>
        </w:tc>
        <w:tc>
          <w:tcPr>
            <w:tcW w:w="1650" w:type="dxa"/>
          </w:tcPr>
          <w:p>
            <w:r>
              <w:t xml:space="preserve">X-Player-Id + SEC-3</w:t>
            </w:r>
          </w:p>
        </w:tc>
        <w:tc>
          <w:tcPr>
            <w:tcW w:w="805" w:type="dxa"/>
          </w:tcPr>
          <w:p>
            <w:r>
              <w:t xml:space="preserve">No</w:t>
            </w:r>
          </w:p>
        </w:tc>
        <w:tc>
          <w:tcPr>
            <w:tcW w:w="805" w:type="dxa"/>
          </w:tcPr>
          <w:p>
            <w:r>
              <w:t xml:space="preserve">No</w:t>
            </w:r>
          </w:p>
        </w:tc>
        <w:tc>
          <w:tcPr>
            <w:tcW w:w="805" w:type="dxa"/>
          </w:tcPr>
          <w:p>
            <w:r>
              <w:t xml:space="preserve">No</w:t>
            </w:r>
          </w:p>
        </w:tc>
        <w:tc>
          <w:tcPr>
            <w:tcW w:w="805" w:type="dxa"/>
          </w:tcPr>
          <w:p>
            <w:r>
              <w:t xml:space="preserve">No</w:t>
            </w:r>
          </w:p>
        </w:tc>
        <w:tc>
          <w:tcPr>
            <w:tcW w:w="805" w:type="dxa"/>
          </w:tcPr>
          <w:p>
            <w:r>
              <w:t xml:space="preserve">No</w:t>
            </w:r>
          </w:p>
        </w:tc>
        <w:tc>
          <w:tcPr>
            <w:tcW w:w="805" w:type="dxa"/>
          </w:tcPr>
          <w:p>
            <w:r>
              <w:t xml:space="preserve">Own</w:t>
            </w:r>
          </w:p>
        </w:tc>
      </w:tr>
    </w:tbl>
    <w:p>
      <w:pPr>
        <w:pStyle w:val="BodyText"/>
      </w:pPr>
      <w:r>
        <w:t xml:space="preserve">Notes: (1) project_admin may create only lead_facilitator and facilitator accounts — never super_admin, admin, project_admin, or god_mode. (2) Cohort creation via </w:t>
      </w:r>
      <w:r>
        <w:rPr>
          <w:rStyle w:val="VerbatimChar"/>
        </w:rPr>
        <w:t xml:space="preserve">/api/simulations/start</w:t>
      </w:r>
      <w:r>
        <w:t xml:space="preserve"> requires an authenticated facilitator and derives the owning facilitator id from the JWT; registry admins may create on behalf of another facilitator, everyone else is pinned to their own id; self-paced play uses the separate ungated </w:t>
      </w:r>
      <w:r>
        <w:rPr>
          <w:rStyle w:val="VerbatimChar"/>
        </w:rPr>
        <w:t xml:space="preserve">/solo-start</w:t>
      </w:r>
      <w:r>
        <w:t xml:space="preserve">. (3) The API permits project_admin to hit read endpoints, but its UI exposes only the dashboard and registry tabs. (4) Player authentication uses its own login, not the facilitator guard chain. (5) project_admin never operates runs, so session ownership does not apply.</w:t>
      </w:r>
    </w:p>
    <w:p>
      <w:pPr>
        <w:pStyle w:val="Heading3"/>
      </w:pPr>
      <w:bookmarkStart w:id="226" w:name="role-assignment"/>
      <w:r>
        <w:t xml:space="preserve">15.6 Role Assignment</w:t>
      </w:r>
      <w:bookmarkEnd w:id="226"/>
    </w:p>
    <w:p>
      <w:pPr>
        <w:pStyle w:val="BodyText"/>
      </w:pPr>
      <w:r>
        <w:t xml:space="preserve">Role assignment is caller-scoped and enforced on all four write paths — create facilitator, bulk create, generic update, and the dedicated role-change endpoint. A caller may never grant a role above its own tier, and god_mode is excluded from the assignable set entirely, so it can never be created or set through the registry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60"/>
        <w:gridCol w:w="2960"/>
        <w:gridCol w:w="2960"/>
      </w:tblGrid>
      <w:tr>
        <w:trPr>
          <w:tblHeader/>
        </w:trPr>
        <w:tc>
          <w:tcPr>
            <w:tcW w:w="2960" w:type="dxa"/>
          </w:tcPr>
          <w:p>
            <w:pPr>
              <w:keepNext/>
            </w:pPr>
            <w:r>
              <w:rPr>
                <w:b/>
              </w:rPr>
              <w:t xml:space="preserve">Caller role</w:t>
            </w:r>
          </w:p>
        </w:tc>
        <w:tc>
          <w:tcPr>
            <w:tcW w:w="2960" w:type="dxa"/>
          </w:tcPr>
          <w:p>
            <w:pPr>
              <w:keepNext/>
            </w:pPr>
            <w:r>
              <w:rPr>
                <w:b/>
              </w:rPr>
              <w:t xml:space="preserve">May grant</w:t>
            </w:r>
          </w:p>
        </w:tc>
        <w:tc>
          <w:tcPr>
            <w:tcW w:w="2960" w:type="dxa"/>
          </w:tcPr>
          <w:p>
            <w:pPr>
              <w:keepNext/>
            </w:pPr>
            <w:r>
              <w:rPr>
                <w:b/>
              </w:rPr>
              <w:t xml:space="preserve">May NOT grant</w:t>
            </w:r>
          </w:p>
        </w:tc>
      </w:tr>
      <w:tr>
        <w:tc>
          <w:tcPr>
            <w:tcW w:w="2960" w:type="dxa"/>
          </w:tcPr>
          <w:p>
            <w:r>
              <w:t xml:space="preserve">god_mode</w:t>
            </w:r>
          </w:p>
        </w:tc>
        <w:tc>
          <w:tcPr>
            <w:tcW w:w="2960" w:type="dxa"/>
          </w:tcPr>
          <w:p>
            <w:r>
              <w:t xml:space="preserve">super_admin, admin, lead_facilitator, facilitator, project_admin</w:t>
            </w:r>
          </w:p>
        </w:tc>
        <w:tc>
          <w:tcPr>
            <w:tcW w:w="2960" w:type="dxa"/>
          </w:tcPr>
          <w:p>
            <w:r>
              <w:t xml:space="preserve">god_mode</w:t>
            </w:r>
          </w:p>
        </w:tc>
      </w:tr>
      <w:tr>
        <w:tc>
          <w:tcPr>
            <w:tcW w:w="2960" w:type="dxa"/>
          </w:tcPr>
          <w:p>
            <w:r>
              <w:t xml:space="preserve">super_admin / admin</w:t>
            </w:r>
          </w:p>
        </w:tc>
        <w:tc>
          <w:tcPr>
            <w:tcW w:w="2960" w:type="dxa"/>
          </w:tcPr>
          <w:p>
            <w:r>
              <w:t xml:space="preserve">super_admin, admin, lead_facilitator, facilitator, project_admin</w:t>
            </w:r>
          </w:p>
        </w:tc>
        <w:tc>
          <w:tcPr>
            <w:tcW w:w="2960" w:type="dxa"/>
          </w:tcPr>
          <w:p>
            <w:r>
              <w:t xml:space="preserve">god_mode</w:t>
            </w:r>
          </w:p>
        </w:tc>
      </w:tr>
      <w:tr>
        <w:tc>
          <w:tcPr>
            <w:tcW w:w="2960" w:type="dxa"/>
          </w:tcPr>
          <w:p>
            <w:r>
              <w:t xml:space="preserve">project_admin</w:t>
            </w:r>
          </w:p>
        </w:tc>
        <w:tc>
          <w:tcPr>
            <w:tcW w:w="2960" w:type="dxa"/>
          </w:tcPr>
          <w:p>
            <w:r>
              <w:t xml:space="preserve">lead_facilitator, facilitator only</w:t>
            </w:r>
          </w:p>
        </w:tc>
        <w:tc>
          <w:tcPr>
            <w:tcW w:w="2960" w:type="dxa"/>
          </w:tcPr>
          <w:p>
            <w:r>
              <w:t xml:space="preserve">super_admin, admin, project_admin, god_mode</w:t>
            </w:r>
          </w:p>
        </w:tc>
      </w:tr>
      <w:tr>
        <w:tc>
          <w:tcPr>
            <w:tcW w:w="2960" w:type="dxa"/>
          </w:tcPr>
          <w:p>
            <w:r>
              <w:t xml:space="preserve">lead_facilitator / facilitator</w:t>
            </w:r>
          </w:p>
        </w:tc>
        <w:tc>
          <w:tcPr>
            <w:tcW w:w="2960" w:type="dxa"/>
          </w:tcPr>
          <w:p>
            <w:r>
              <w:t xml:space="preserve">— (not registry admins; role change is super-admin-only)</w:t>
            </w:r>
          </w:p>
        </w:tc>
        <w:tc>
          <w:tcPr>
            <w:tcW w:w="2960" w:type="dxa"/>
          </w:tcPr>
          <w:p>
            <w:r>
              <w:t xml:space="preserve">anything</w:t>
            </w:r>
          </w:p>
        </w:tc>
      </w:tr>
    </w:tbl>
    <w:p>
      <w:pPr>
        <w:pStyle w:val="Heading3"/>
      </w:pPr>
      <w:bookmarkStart w:id="227" w:name="player-realm-and-break-glass-secrets"/>
      <w:r>
        <w:t xml:space="preserve">15.7 Player Realm and Break-Glass Secrets</w:t>
      </w:r>
      <w:bookmarkEnd w:id="227"/>
    </w:p>
    <w:p>
      <w:pPr>
        <w:pStyle w:val="BodyText"/>
      </w:pPr>
      <w:r>
        <w:t xml:space="preserve">Players live entirely outside the role hierarchy. They authenticate through the player login or session-join endpoints, and session-scoped player routes (dashboard, commit-turn, decision submission) validate the </w:t>
      </w:r>
      <w:r>
        <w:rPr>
          <w:rStyle w:val="VerbatimChar"/>
        </w:rPr>
        <w:t xml:space="preserve">X-Player-Id</w:t>
      </w:r>
      <w:r>
        <w:t xml:space="preserve"> header against the session’s owner under the SEC-3 rule — a wrong owner receives a 403, and requests with no header retain backward-compatible bearer behaviour used by facilitator and observer clients.</w:t>
      </w:r>
    </w:p>
    <w:p>
      <w:pPr>
        <w:pStyle w:val="BodyText"/>
      </w:pPr>
      <w:r>
        <w:t xml:space="preserve">Three break-glass secrets exist, each scoped to its realm. </w:t>
      </w:r>
      <w:r>
        <w:rPr>
          <w:b/>
        </w:rPr>
        <w:t xml:space="preserve">MASTER_PASSWORD</w:t>
      </w:r>
      <w:r>
        <w:t xml:space="preserve"> is the admin break-glass: it signs in god_mode and bypasses any facilitator login, and every use is audit-logged; it does not unlock player accounts. </w:t>
      </w:r>
      <w:r>
        <w:rPr>
          <w:b/>
        </w:rPr>
        <w:t xml:space="preserve">PLAYER_MASTER_PASSWORD</w:t>
      </w:r>
      <w:r>
        <w:t xml:space="preserve"> unlocks player accounts, is separate from the admin secret with no fallback, and is disabled by default. </w:t>
      </w:r>
      <w:r>
        <w:rPr>
          <w:b/>
        </w:rPr>
        <w:t xml:space="preserve">PROJECT_ADMIN_PASSWORD</w:t>
      </w:r>
      <w:r>
        <w:t xml:space="preserve"> signs in the virtual project_admin provisioning account. The god_mode token also carries a version claim so that incrementing its stored version instantly revokes every outstanding god_mode cookie.</w:t>
      </w:r>
    </w:p>
    <w:p>
      <w:pPr>
        <w:pStyle w:val="Heading3"/>
      </w:pPr>
      <w:bookmarkStart w:id="228" w:name="conventions-and-drift-protection"/>
      <w:r>
        <w:t xml:space="preserve">15.8 Conventions and Drift Protection</w:t>
      </w:r>
      <w:bookmarkEnd w:id="228"/>
    </w:p>
    <w:p>
      <w:pPr>
        <w:pStyle w:val="BodyText"/>
      </w:pPr>
      <w:r>
        <w:t xml:space="preserve">Four standing conventions govern changes to this model. First, use the level, not the string: for any “is this an admin?” decision use </w:t>
      </w:r>
      <w:r>
        <w:rPr>
          <w:rStyle w:val="VerbatimChar"/>
        </w:rPr>
        <w:t xml:space="preserve">is_admin_role(role)</w:t>
      </w:r>
      <w:r>
        <w:t xml:space="preserve"> rather than a literal comparison to “super_admin”, which would silently drop god_mode. Second, run management gates on </w:t>
      </w:r>
      <w:r>
        <w:rPr>
          <w:rStyle w:val="VerbatimChar"/>
        </w:rPr>
        <w:t xml:space="preserve">require_sim_manager</w:t>
      </w:r>
      <w:r>
        <w:t xml:space="preserve">, never on </w:t>
      </w:r>
      <w:r>
        <w:rPr>
          <w:rStyle w:val="VerbatimChar"/>
        </w:rPr>
        <w:t xml:space="preserve">require_facilitator</w:t>
      </w:r>
      <w:r>
        <w:t xml:space="preserve">, because the latter admits project_admin; cohort provisioning and configuration stay on </w:t>
      </w:r>
      <w:r>
        <w:rPr>
          <w:rStyle w:val="VerbatimChar"/>
        </w:rPr>
        <w:t xml:space="preserve">require_facilitator</w:t>
      </w:r>
      <w:r>
        <w:t xml:space="preserve"> because project_admin performs them while provisioning. Third, role assignment is always caller-scoped through </w:t>
      </w:r>
      <w:r>
        <w:rPr>
          <w:rStyle w:val="VerbatimChar"/>
        </w:rPr>
        <w:t xml:space="preserve">assignable_roles_for</w:t>
      </w:r>
      <w:r>
        <w:t xml:space="preserve">. Fourth, the hierarchy is defined once in the backend, mirrored in the frontend, and pinned by the tripwire test, so both must change in the same commit. Regression coverage spans the ladder mirror, caller-scoped grants, run isolation, secret separation, unauthenticated rejection, and player ownership.</w:t>
      </w:r>
    </w:p>
    <w:p w14:paraId="6A205EEA" w14:textId="77777777" w:rsidR="00CE26CC" w:rsidRDefault="00CE26CC">
      <w:pPr>
        <w:pStyle w:val="Heading2"/>
        <w:sectPr w:rsidR="00CE26CC" w:rsidSect="005A7B8D">
          <w:pgSz w:w="12240" w:h="15840"/>
          <w:pgMar w:top="993" w:right="1800" w:bottom="1440" w:left="1800" w:header="720" w:footer="720" w:gutter="0"/>
          <w:cols w:space="720"/>
          <w:docGrid w:linePitch="360"/>
        </w:sectPr>
      </w:pPr>
      <w:bookmarkStart w:id="134" w:name="references"/>
      <w:bookmarkStart w:id="135" w:name="_Toc232946749"/>
      <w:bookmarkEnd w:id="132"/>
    </w:p>
    <w:p w14:paraId="6B219F3F" w14:textId="77777777" w:rsidR="003743EC" w:rsidRDefault="00000000">
      <w:pPr>
        <w:pStyle w:val="Heading2"/>
      </w:pPr>
      <w:r>
        <w:lastRenderedPageBreak/>
        <w:t>16. References</w:t>
      </w:r>
      <w:bookmarkEnd w:id="135"/>
    </w:p>
    <w:p w14:paraId="03E71E10" w14:textId="77777777" w:rsidR="003743EC" w:rsidRDefault="00000000">
      <w:r>
        <w:t xml:space="preserve">Argyris, C. (1977). Double loop learning in organizations. </w:t>
      </w:r>
      <w:r>
        <w:rPr>
          <w:i/>
          <w:iCs/>
        </w:rPr>
        <w:t>Harvard Business Review</w:t>
      </w:r>
      <w:r>
        <w:t>, 55(5), 115–125.</w:t>
      </w:r>
    </w:p>
    <w:p w14:paraId="54790E20" w14:textId="77777777" w:rsidR="003743EC" w:rsidRDefault="00000000">
      <w:pPr>
        <w:pStyle w:val="BodyText"/>
      </w:pPr>
      <w:r>
        <w:t xml:space="preserve">Barney, J. (1991). Firm resources and sustained competitive advantage. </w:t>
      </w:r>
      <w:r>
        <w:rPr>
          <w:i/>
          <w:iCs/>
        </w:rPr>
        <w:t>Journal of Management</w:t>
      </w:r>
      <w:r>
        <w:t>, 17(1), 99–120.</w:t>
      </w:r>
    </w:p>
    <w:p w14:paraId="431FB1F3" w14:textId="77777777" w:rsidR="003743EC" w:rsidRDefault="00000000">
      <w:pPr>
        <w:pStyle w:val="BodyText"/>
      </w:pPr>
      <w:r>
        <w:t xml:space="preserve">Becker, G.S. (1964). </w:t>
      </w:r>
      <w:r>
        <w:rPr>
          <w:i/>
          <w:iCs/>
        </w:rPr>
        <w:t>Human Capital: A Theoretical and Empirical Analysis</w:t>
      </w:r>
      <w:r>
        <w:t>. University of Chicago Press.</w:t>
      </w:r>
    </w:p>
    <w:p w14:paraId="31FA8654" w14:textId="77777777" w:rsidR="003743EC" w:rsidRDefault="00000000">
      <w:pPr>
        <w:pStyle w:val="BodyText"/>
      </w:pPr>
      <w:r>
        <w:t xml:space="preserve">Bloom, B.S., Engelhart, M.D., Furst, E.J., Hill, W.H., &amp; Krathwohl, D.R. (1956). </w:t>
      </w:r>
      <w:r>
        <w:rPr>
          <w:i/>
          <w:iCs/>
        </w:rPr>
        <w:t>Taxonomy of educational objectives: The classification of educational goals. Handbook I: Cognitive domain</w:t>
      </w:r>
      <w:r>
        <w:t>. David McKay Company.</w:t>
      </w:r>
    </w:p>
    <w:p w14:paraId="73001031" w14:textId="77777777" w:rsidR="003743EC" w:rsidRDefault="00000000">
      <w:pPr>
        <w:pStyle w:val="BodyText"/>
      </w:pPr>
      <w:r>
        <w:t xml:space="preserve">Bruner, J. (1991). The narrative construction of reality. </w:t>
      </w:r>
      <w:r>
        <w:rPr>
          <w:i/>
          <w:iCs/>
        </w:rPr>
        <w:t>Critical Inquiry</w:t>
      </w:r>
      <w:r>
        <w:t>, 18(1), 1–21.</w:t>
      </w:r>
    </w:p>
    <w:p w14:paraId="647A132C" w14:textId="77777777" w:rsidR="003743EC" w:rsidRDefault="00000000">
      <w:pPr>
        <w:pStyle w:val="BodyText"/>
      </w:pPr>
      <w:r>
        <w:t xml:space="preserve">Carbon Tracker Initiative. (2013). </w:t>
      </w:r>
      <w:r>
        <w:rPr>
          <w:i/>
          <w:iCs/>
        </w:rPr>
        <w:t>Unburnable Carbon 2013: Wasted Capital and Stranded Assets</w:t>
      </w:r>
      <w:r>
        <w:t>. Carbon Tracker.</w:t>
      </w:r>
    </w:p>
    <w:p w14:paraId="3A3E6410" w14:textId="77777777" w:rsidR="003743EC" w:rsidRDefault="00000000">
      <w:pPr>
        <w:pStyle w:val="BodyText"/>
      </w:pPr>
      <w:r>
        <w:t xml:space="preserve">Carroll, A.B. (1991). The pyramid of corporate social responsibility. </w:t>
      </w:r>
      <w:r>
        <w:rPr>
          <w:i/>
          <w:iCs/>
        </w:rPr>
        <w:t>Business Horizons</w:t>
      </w:r>
      <w:r>
        <w:t>, 34(4), 39–48.</w:t>
      </w:r>
    </w:p>
    <w:p w14:paraId="069194EE" w14:textId="77777777" w:rsidR="003743EC" w:rsidRDefault="00000000">
      <w:pPr>
        <w:pStyle w:val="BodyText"/>
      </w:pPr>
      <w:r>
        <w:t xml:space="preserve">Davis, J.H., Schoorman, F.D., &amp; Donaldson, L. (1997). Toward a stewardship theory of management. </w:t>
      </w:r>
      <w:r>
        <w:rPr>
          <w:i/>
          <w:iCs/>
        </w:rPr>
        <w:t>Academy of Management Review</w:t>
      </w:r>
      <w:r>
        <w:t>, 22(1), 20–47.</w:t>
      </w:r>
    </w:p>
    <w:p w14:paraId="1A0B1D25" w14:textId="77777777" w:rsidR="003743EC" w:rsidRDefault="00000000">
      <w:pPr>
        <w:pStyle w:val="BodyText"/>
      </w:pPr>
      <w:r>
        <w:t xml:space="preserve">Dixit, A.K., &amp; Pindyck, R.S. (1994). </w:t>
      </w:r>
      <w:r>
        <w:rPr>
          <w:i/>
          <w:iCs/>
        </w:rPr>
        <w:t>Investment Under Uncertainty</w:t>
      </w:r>
      <w:r>
        <w:t>. Princeton University Press.</w:t>
      </w:r>
    </w:p>
    <w:p w14:paraId="3769CE23" w14:textId="77777777" w:rsidR="003743EC" w:rsidRDefault="00000000">
      <w:pPr>
        <w:pStyle w:val="BodyText"/>
      </w:pPr>
      <w:r>
        <w:t xml:space="preserve">Eccles, R.G., Ioannou, I., &amp; Serafeim, G. (2014). The impact of corporate sustainability on organizational processes and performance. </w:t>
      </w:r>
      <w:r>
        <w:rPr>
          <w:i/>
          <w:iCs/>
        </w:rPr>
        <w:t>Management Science</w:t>
      </w:r>
      <w:r>
        <w:t>, 60(11), 2835–2857.</w:t>
      </w:r>
    </w:p>
    <w:p w14:paraId="7115E94E" w14:textId="77777777" w:rsidR="003743EC" w:rsidRDefault="00000000">
      <w:pPr>
        <w:pStyle w:val="BodyText"/>
      </w:pPr>
      <w:r>
        <w:t xml:space="preserve">Eccles, R.G., &amp; Klimenko, S. (2019). The investor revolution. </w:t>
      </w:r>
      <w:r>
        <w:rPr>
          <w:i/>
          <w:iCs/>
        </w:rPr>
        <w:t>Harvard Business Review</w:t>
      </w:r>
      <w:r>
        <w:t>, 97(3), 106–116.</w:t>
      </w:r>
    </w:p>
    <w:p w14:paraId="70A4584F" w14:textId="77777777" w:rsidR="003743EC" w:rsidRDefault="00000000">
      <w:pPr>
        <w:pStyle w:val="BodyText"/>
      </w:pPr>
      <w:r>
        <w:t xml:space="preserve">Ellen MacArthur Foundation. (2013). </w:t>
      </w:r>
      <w:r>
        <w:rPr>
          <w:i/>
          <w:iCs/>
        </w:rPr>
        <w:t>Towards the Circular Economy: Economic and Business Rationale for an Accelerated Transition</w:t>
      </w:r>
      <w:r>
        <w:t>. Ellen MacArthur Foundation.</w:t>
      </w:r>
    </w:p>
    <w:p w14:paraId="6BDCBC04" w14:textId="77777777" w:rsidR="003743EC" w:rsidRDefault="00000000">
      <w:pPr>
        <w:pStyle w:val="BodyText"/>
      </w:pPr>
      <w:r>
        <w:t xml:space="preserve">European Commission. (2023). </w:t>
      </w:r>
      <w:r>
        <w:rPr>
          <w:i/>
          <w:iCs/>
        </w:rPr>
        <w:t xml:space="preserve">Corporate Sustainability Reporting Directive (CSRD) — ESRS 1</w:t>
      </w:r>
      <w:r>
        <w:t>. Official Journal of the European Union.</w:t>
      </w:r>
    </w:p>
    <w:p w14:paraId="0E25E642" w14:textId="77777777" w:rsidR="003743EC" w:rsidRDefault="00000000">
      <w:pPr>
        <w:pStyle w:val="BodyText"/>
      </w:pPr>
      <w:r>
        <w:t xml:space="preserve">European Commission. (2024). </w:t>
      </w:r>
      <w:r>
        <w:rPr>
          <w:i/>
          <w:iCs/>
        </w:rPr>
        <w:t>EU Artificial Intelligence Act</w:t>
      </w:r>
      <w:r>
        <w:t>. Official Journal of the European Union.</w:t>
      </w:r>
    </w:p>
    <w:p w14:paraId="5EFF2EBE" w14:textId="77777777" w:rsidR="003743EC" w:rsidRDefault="00000000">
      <w:pPr>
        <w:pStyle w:val="BodyText"/>
      </w:pPr>
      <w:r>
        <w:t xml:space="preserve">Graedel, T.E., &amp; Allenby, B.R. (2010). </w:t>
      </w:r>
      <w:r>
        <w:rPr>
          <w:i/>
          <w:iCs/>
        </w:rPr>
        <w:t>Industrial Ecology and Sustainable Engineering</w:t>
      </w:r>
      <w:r>
        <w:t>. Prentice Hall.</w:t>
      </w:r>
    </w:p>
    <w:p w14:paraId="7EB114C6" w14:textId="77777777" w:rsidR="003743EC" w:rsidRDefault="00000000">
      <w:pPr>
        <w:pStyle w:val="BodyText"/>
      </w:pPr>
      <w:r>
        <w:t xml:space="preserve">Hoekstra, A.Y., &amp; Mekonnen, M.M. (2012). The water footprint of humanity. </w:t>
      </w:r>
      <w:r>
        <w:rPr>
          <w:i/>
          <w:iCs/>
        </w:rPr>
        <w:t>Proceedings of the National Academy of Sciences</w:t>
      </w:r>
      <w:r>
        <w:t>, 109(9), 3232–3237.</w:t>
      </w:r>
    </w:p>
    <w:p w14:paraId="6A76E364" w14:textId="77777777" w:rsidR="003743EC" w:rsidRDefault="00000000">
      <w:pPr>
        <w:pStyle w:val="BodyText"/>
      </w:pPr>
      <w:r>
        <w:t xml:space="preserve">ILO. (2015). </w:t>
      </w:r>
      <w:r>
        <w:rPr>
          <w:i/>
          <w:iCs/>
        </w:rPr>
        <w:t>Guidelines for a Just Transition towards Environmentally Sustainable Economies and Societies for All</w:t>
      </w:r>
      <w:r>
        <w:t>. International Labour Organization.</w:t>
      </w:r>
    </w:p>
    <w:p w14:paraId="6DFE7015" w14:textId="77777777" w:rsidR="003743EC" w:rsidRDefault="00000000">
      <w:pPr>
        <w:pStyle w:val="BodyText"/>
      </w:pPr>
      <w:r>
        <w:t xml:space="preserve">Kahneman, D. (2011). </w:t>
      </w:r>
      <w:r>
        <w:rPr>
          <w:i/>
          <w:iCs/>
        </w:rPr>
        <w:t>Thinking, Fast and Slow</w:t>
      </w:r>
      <w:r>
        <w:t>. Farrar, Straus and Giroux.</w:t>
      </w:r>
    </w:p>
    <w:p w14:paraId="551EC007" w14:textId="77777777" w:rsidR="003743EC" w:rsidRDefault="00000000">
      <w:pPr>
        <w:pStyle w:val="BodyText"/>
      </w:pPr>
      <w:r>
        <w:t xml:space="preserve">Khan, M., Serafeim, G., &amp; Yoon, A. (2016). Corporate sustainability: First evidence on materiality. </w:t>
      </w:r>
      <w:r>
        <w:rPr>
          <w:i/>
          <w:iCs/>
        </w:rPr>
        <w:t>The Accounting Review</w:t>
      </w:r>
      <w:r>
        <w:t>, 91(6), 1697–1724.</w:t>
      </w:r>
    </w:p>
    <w:p w14:paraId="17B9A3B0" w14:textId="77777777" w:rsidR="003743EC" w:rsidRDefault="00000000">
      <w:pPr>
        <w:pStyle w:val="BodyText"/>
      </w:pPr>
      <w:r>
        <w:lastRenderedPageBreak/>
        <w:t xml:space="preserve">Knight, F.H. (1921). </w:t>
      </w:r>
      <w:r>
        <w:rPr>
          <w:i/>
          <w:iCs/>
        </w:rPr>
        <w:t>Risk, Uncertainty and Profit</w:t>
      </w:r>
      <w:r>
        <w:t>. Hart, Schaffner &amp; Marx.</w:t>
      </w:r>
    </w:p>
    <w:p w14:paraId="47C953EE" w14:textId="77777777" w:rsidR="003743EC" w:rsidRDefault="00000000">
      <w:pPr>
        <w:pStyle w:val="BodyText"/>
      </w:pPr>
      <w:r>
        <w:t xml:space="preserve">Kolb, D.A. (1984). </w:t>
      </w:r>
      <w:r>
        <w:rPr>
          <w:i/>
          <w:iCs/>
        </w:rPr>
        <w:t>Experiential Learning: Experience as the Source of Learning and Development</w:t>
      </w:r>
      <w:r>
        <w:t>. Prentice-Hall.</w:t>
      </w:r>
    </w:p>
    <w:p w14:paraId="11A5A5C2" w14:textId="77777777" w:rsidR="003743EC" w:rsidRDefault="00000000">
      <w:pPr>
        <w:pStyle w:val="BodyText"/>
      </w:pPr>
      <w:r>
        <w:t xml:space="preserve">Lieberman, M.B., &amp; Montgomery, D.B. (1988). First-mover advantages. </w:t>
      </w:r>
      <w:r>
        <w:rPr>
          <w:i/>
          <w:iCs/>
        </w:rPr>
        <w:t>Strategic Management Journal</w:t>
      </w:r>
      <w:r>
        <w:t>, 9(S1), 41–58.</w:t>
      </w:r>
    </w:p>
    <w:p w14:paraId="1AD4C438" w14:textId="77777777" w:rsidR="003743EC" w:rsidRDefault="00000000">
      <w:pPr>
        <w:pStyle w:val="BodyText"/>
      </w:pPr>
      <w:r>
        <w:t xml:space="preserve">McDonough, W., &amp; Braungart, M. (2002). </w:t>
      </w:r>
      <w:r>
        <w:rPr>
          <w:i/>
          <w:iCs/>
        </w:rPr>
        <w:t>Cradle to Cradle: Remaking the Way We Make Things</w:t>
      </w:r>
      <w:r>
        <w:t>. North Point Press.</w:t>
      </w:r>
    </w:p>
    <w:p w14:paraId="6F78496B" w14:textId="77777777" w:rsidR="003743EC" w:rsidRDefault="00000000">
      <w:pPr>
        <w:pStyle w:val="BodyText"/>
      </w:pPr>
      <w:r>
        <w:t>Mendelow, A.L. (1991). Stakeholder mapping. Proceedings of the 2nd International Conference on Information Systems, Cambridge, MA.</w:t>
      </w:r>
    </w:p>
    <w:p w14:paraId="74A58D19" w14:textId="77777777" w:rsidR="003743EC" w:rsidRDefault="00000000">
      <w:pPr>
        <w:pStyle w:val="BodyText"/>
      </w:pPr>
      <w:r>
        <w:t xml:space="preserve">Mitchell, R.K., Agle, B.R., &amp; Wood, D.J. (1997). Toward a theory of stakeholder identification and salience. </w:t>
      </w:r>
      <w:r>
        <w:rPr>
          <w:i/>
          <w:iCs/>
        </w:rPr>
        <w:t>Academy of Management Review</w:t>
      </w:r>
      <w:r>
        <w:t>, 22(4), 853–886.</w:t>
      </w:r>
    </w:p>
    <w:p w14:paraId="0E22E269" w14:textId="77777777" w:rsidR="003743EC" w:rsidRDefault="00000000">
      <w:pPr>
        <w:pStyle w:val="BodyText"/>
      </w:pPr>
      <w:r>
        <w:t xml:space="preserve">Moon, J.A. (2004). </w:t>
      </w:r>
      <w:r>
        <w:rPr>
          <w:i/>
          <w:iCs/>
        </w:rPr>
        <w:t>A Handbook of Reflective and Experiential Learning: Theory and Practice</w:t>
      </w:r>
      <w:r>
        <w:t>. RoutledgeFalmer.</w:t>
      </w:r>
    </w:p>
    <w:p w14:paraId="6B548007" w14:textId="77777777" w:rsidR="003743EC" w:rsidRDefault="00000000">
      <w:pPr>
        <w:pStyle w:val="BodyText"/>
      </w:pPr>
      <w:r>
        <w:t xml:space="preserve">Porter, M.E., &amp; Kramer, M.R. (2011). Creating shared value. </w:t>
      </w:r>
      <w:r>
        <w:rPr>
          <w:i/>
          <w:iCs/>
        </w:rPr>
        <w:t>Harvard Business Review</w:t>
      </w:r>
      <w:r>
        <w:t>, 89(1/2), 62–77.</w:t>
      </w:r>
    </w:p>
    <w:p w14:paraId="23C07AFD" w14:textId="77777777" w:rsidR="003743EC" w:rsidRDefault="00000000">
      <w:pPr>
        <w:pStyle w:val="BodyText"/>
      </w:pPr>
      <w:r>
        <w:t xml:space="preserve">Rawls, J. (1971). </w:t>
      </w:r>
      <w:r>
        <w:rPr>
          <w:i/>
          <w:iCs/>
        </w:rPr>
        <w:t>A Theory of Justice</w:t>
      </w:r>
      <w:r>
        <w:t>. Harvard University Press.</w:t>
      </w:r>
    </w:p>
    <w:p w14:paraId="2A3B0BDC" w14:textId="77777777" w:rsidR="003743EC" w:rsidRDefault="00000000">
      <w:pPr>
        <w:pStyle w:val="BodyText"/>
      </w:pPr>
      <w:r>
        <w:t xml:space="preserve">SEBI. (2021). </w:t>
      </w:r>
      <w:r>
        <w:rPr>
          <w:i/>
          <w:iCs/>
        </w:rPr>
        <w:t>Business Responsibility and Sustainability Reporting (BRSR) Framework</w:t>
      </w:r>
      <w:r>
        <w:t>. Securities and Exchange Board of India.</w:t>
      </w:r>
    </w:p>
    <w:p w14:paraId="3642C97E" w14:textId="77777777" w:rsidR="003743EC" w:rsidRDefault="00000000">
      <w:pPr>
        <w:pStyle w:val="BodyText"/>
      </w:pPr>
      <w:r>
        <w:t xml:space="preserve">Simon, H.A. (1955). A behavioral model of rational choice. </w:t>
      </w:r>
      <w:r>
        <w:rPr>
          <w:i/>
          <w:iCs/>
        </w:rPr>
        <w:t>The Quarterly Journal of Economics</w:t>
      </w:r>
      <w:r>
        <w:t>, 69(1), 99–118.</w:t>
      </w:r>
    </w:p>
    <w:p w14:paraId="3B38C70F" w14:textId="77777777" w:rsidR="003743EC" w:rsidRDefault="00000000">
      <w:pPr>
        <w:pStyle w:val="BodyText"/>
      </w:pPr>
      <w:r>
        <w:t xml:space="preserve">Suchman, M.C. (1995). Managing legitimacy: Strategic and institutional approaches. </w:t>
      </w:r>
      <w:r>
        <w:rPr>
          <w:i/>
          <w:iCs/>
        </w:rPr>
        <w:t>Academy of Management Review</w:t>
      </w:r>
      <w:r>
        <w:t>, 20(3), 571–610.</w:t>
      </w:r>
    </w:p>
    <w:p w14:paraId="0C394D97" w14:textId="77777777" w:rsidR="003743EC" w:rsidRDefault="00000000">
      <w:pPr>
        <w:pStyle w:val="BodyText"/>
      </w:pPr>
      <w:r>
        <w:t xml:space="preserve">Sweller, J. (1988). Cognitive load during problem solving: Effects on learning. </w:t>
      </w:r>
      <w:r>
        <w:rPr>
          <w:i/>
          <w:iCs/>
        </w:rPr>
        <w:t>Cognitive Science</w:t>
      </w:r>
      <w:r>
        <w:t>, 12(2), 257–285.</w:t>
      </w:r>
    </w:p>
    <w:p w14:paraId="0D6243BE" w14:textId="77777777" w:rsidR="003743EC" w:rsidRDefault="00000000">
      <w:pPr>
        <w:pStyle w:val="BodyText"/>
      </w:pPr>
      <w:r>
        <w:t xml:space="preserve">TNFD. (2023). </w:t>
      </w:r>
      <w:r>
        <w:rPr>
          <w:i/>
          <w:iCs/>
        </w:rPr>
        <w:t>TNFD Recommendations on Nature-related Financial Disclosures — v1.0</w:t>
      </w:r>
      <w:r>
        <w:t>. Taskforce on Nature-related Financial Disclosures.</w:t>
      </w:r>
    </w:p>
    <w:p w14:paraId="0DCD981C" w14:textId="77777777" w:rsidR="003743EC" w:rsidRDefault="00000000">
      <w:pPr>
        <w:pStyle w:val="BodyText"/>
      </w:pPr>
      <w:r>
        <w:t xml:space="preserve">UN. (2015). </w:t>
      </w:r>
      <w:r>
        <w:rPr>
          <w:i/>
          <w:iCs/>
        </w:rPr>
        <w:t>Transforming Our World: The 2030 Agenda for Sustainable Development</w:t>
      </w:r>
      <w:r>
        <w:t>. United Nations General Assembly Resolution 70/1.</w:t>
      </w:r>
    </w:p>
    <w:bookmarkEnd w:id="0"/>
    <w:bookmarkEnd w:id="134"/>
    <w:p w14:paraId="2351139C" w14:textId="76E62C44" w:rsidR="003743EC" w:rsidRDefault="003743EC"/>
    <w:p>
      <w:r>
        <w:br w:type="page"/>
      </w:r>
    </w:p>
    <w:p>
      <w:pPr>
        <w:pStyle w:val="Heading2"/>
      </w:pPr>
      <w:r>
        <w:rPr>
          <w:color w:val="0F2540"/>
        </w:rPr>
        <w:t>The Stakeholder System — Design and Mechanics</w:t>
      </w:r>
    </w:p>
    <w:p>
      <w:pPr>
        <w:spacing w:after="120"/>
      </w:pPr>
      <w:r>
        <w:t>Muressons is, at its core, a stakeholder-management simulation: the assessed spine of the game is the company's Social Licence to Operate (SLO). Round 1 introduces the cast as an explicit power/interest mapping exercise; every round thereafter the stakeholders react to what players decide, and those reactions feed back into SLO, reputation, treasury and — ultimately — the terminal valuation. This section documents the design intent, the roster, the reactive mechanics, and the configuration model. (Placed here as a self-contained section; it belongs conceptually alongside Section 4, The Pedagogical Engine.)</w:t>
      </w:r>
    </w:p>
    <w:p>
      <w:pPr>
        <w:pStyle w:val="Heading3"/>
      </w:pPr>
      <w:r>
        <w:rPr>
          <w:color w:val="0F2540"/>
        </w:rPr>
        <w:t>Design intent</w:t>
      </w:r>
    </w:p>
    <w:p>
      <w:pPr>
        <w:spacing w:after="120"/>
      </w:pPr>
      <w:r>
        <w:t>The module turns stakeholder theory into felt consequence. It draws on Mitchell, Agle &amp; Wood (1997) for salience (power × legitimacy × urgency), Freeman (1984) for stakeholder management, and Mendelow for the power/interest grid taught in Round 1. The design goal is a single reinforcing loop: decisions set SLO; SLO decides how stakeholders feel and act; actions feed back to state; neglect compounds. SLO is deliberately the hinge through which most consequences route, so students can trace cause to effect.</w:t>
      </w:r>
    </w:p>
    <w:p>
      <w:pPr>
        <w:spacing w:line="240" w:lineRule="auto" w:before="120" w:after="40"/>
        <w:jc w:val="center"/>
      </w:pPr>
      <w:r>
        <w:drawing>
          <wp:inline xmlns:a="http://schemas.openxmlformats.org/drawingml/2006/main" xmlns:pic="http://schemas.openxmlformats.org/drawingml/2006/picture">
            <wp:extent cx="5212080" cy="3350623"/>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212080" cy="3350623"/>
                    </a:xfrm>
                    <a:prstGeom prst="rect"/>
                  </pic:spPr>
                </pic:pic>
              </a:graphicData>
            </a:graphic>
          </wp:inline>
        </w:drawing>
      </w:r>
    </w:p>
    <w:p>
      <w:pPr>
        <w:spacing w:line="240" w:lineRule="auto"/>
        <w:jc w:val="center"/>
      </w:pPr>
      <w:r>
        <w:rPr>
          <w:i/>
          <w:color w:val="555555"/>
          <w:sz w:val="18"/>
        </w:rPr>
        <w:t>Figure — the stakeholder feedback loop. SLO is the hinge; F1–F6 label the optional depth waves.</w:t>
      </w:r>
    </w:p>
    <w:p>
      <w:pPr>
        <w:pStyle w:val="Heading3"/>
      </w:pPr>
      <w:r>
        <w:rPr>
          <w:color w:val="0F2540"/>
        </w:rPr>
        <w:t>The stakeholder roster (Round 1 mapping)</w:t>
      </w:r>
    </w:p>
    <w:p>
      <w:pPr>
        <w:spacing w:after="120"/>
      </w:pPr>
      <w:r>
        <w:t>Ten stakeholders are presented as a Mendelow mapping exercise. Power and interest are inferred from behaviour, not labels; the Regional Business Journalist is intentionally ambiguous and accepts two quadrants.</w:t>
      </w:r>
    </w:p>
    <w:tbl>
      <w:tblPr>
        <w:tblStyle w:val="LightGrid-Accent1"/>
        <w:tblW w:type="auto" w:w="0"/>
        <w:jc w:val="center"/>
        <w:tblLook w:firstColumn="1" w:firstRow="1" w:lastColumn="0" w:lastRow="0" w:noHBand="0" w:noVBand="1" w:val="04A0"/>
      </w:tblPr>
      <w:tblGrid>
        <w:gridCol w:w="2880"/>
        <w:gridCol w:w="2880"/>
        <w:gridCol w:w="2880"/>
      </w:tblGrid>
      <w:tr>
        <w:tc>
          <w:tcPr>
            <w:tcW w:type="dxa" w:w="3024"/>
            <w:shd w:val="clear" w:fill="1F3A5F"/>
          </w:tcPr>
          <w:p>
            <w:r/>
            <w:r>
              <w:rPr>
                <w:b/>
                <w:color w:val="FFFFFF"/>
                <w:sz w:val="17"/>
              </w:rPr>
              <w:t>Stakeholder</w:t>
            </w:r>
          </w:p>
        </w:tc>
        <w:tc>
          <w:tcPr>
            <w:tcW w:type="dxa" w:w="2016"/>
            <w:shd w:val="clear" w:fill="1F3A5F"/>
          </w:tcPr>
          <w:p>
            <w:r/>
            <w:r>
              <w:rPr>
                <w:b/>
                <w:color w:val="FFFFFF"/>
                <w:sz w:val="17"/>
              </w:rPr>
              <w:t>Correct quadrant</w:t>
            </w:r>
          </w:p>
        </w:tc>
        <w:tc>
          <w:tcPr>
            <w:tcW w:type="dxa" w:w="3600"/>
            <w:shd w:val="clear" w:fill="1F3A5F"/>
          </w:tcPr>
          <w:p>
            <w:r/>
            <w:r>
              <w:rPr>
                <w:b/>
                <w:color w:val="FFFFFF"/>
                <w:sz w:val="17"/>
              </w:rPr>
              <w:t>Signal in the brief</w:t>
            </w:r>
          </w:p>
        </w:tc>
      </w:tr>
      <w:tr>
        <w:tc>
          <w:tcPr>
            <w:tcW w:type="dxa" w:w="3024"/>
          </w:tcPr>
          <w:p>
            <w:r/>
            <w:r>
              <w:rPr>
                <w:sz w:val="17"/>
              </w:rPr>
              <w:t>FutureFirst Activist Fund</w:t>
            </w:r>
          </w:p>
        </w:tc>
        <w:tc>
          <w:tcPr>
            <w:tcW w:type="dxa" w:w="2016"/>
          </w:tcPr>
          <w:p>
            <w:r/>
            <w:r>
              <w:rPr>
                <w:sz w:val="17"/>
              </w:rPr>
              <w:t>Manage closely</w:t>
            </w:r>
          </w:p>
        </w:tc>
        <w:tc>
          <w:tcPr>
            <w:tcW w:type="dxa" w:w="3600"/>
          </w:tcPr>
          <w:p>
            <w:r/>
            <w:r>
              <w:rPr>
                <w:sz w:val="17"/>
              </w:rPr>
              <w:t>7% blocking stake; three climate-disclosure resolutions; AGM proxy threat</w:t>
            </w:r>
          </w:p>
        </w:tc>
      </w:tr>
      <w:tr>
        <w:tc>
          <w:tcPr>
            <w:tcW w:type="dxa" w:w="3024"/>
          </w:tcPr>
          <w:p>
            <w:r/>
            <w:r>
              <w:rPr>
                <w:sz w:val="17"/>
              </w:rPr>
              <w:t>EU Regulators</w:t>
            </w:r>
          </w:p>
        </w:tc>
        <w:tc>
          <w:tcPr>
            <w:tcW w:type="dxa" w:w="2016"/>
          </w:tcPr>
          <w:p>
            <w:r/>
            <w:r>
              <w:rPr>
                <w:sz w:val="17"/>
              </w:rPr>
              <w:t>Manage closely</w:t>
            </w:r>
          </w:p>
        </w:tc>
        <w:tc>
          <w:tcPr>
            <w:tcW w:type="dxa" w:w="3600"/>
          </w:tcPr>
          <w:p>
            <w:r/>
            <w:r>
              <w:rPr>
                <w:sz w:val="17"/>
              </w:rPr>
              <w:t>CSRD compliance notice; Düsseldorf site inspection</w:t>
            </w:r>
          </w:p>
        </w:tc>
      </w:tr>
      <w:tr>
        <w:tc>
          <w:tcPr>
            <w:tcW w:type="dxa" w:w="3024"/>
          </w:tcPr>
          <w:p>
            <w:r/>
            <w:r>
              <w:rPr>
                <w:sz w:val="17"/>
              </w:rPr>
              <w:t>Deccan Plateau Local Communities</w:t>
            </w:r>
          </w:p>
        </w:tc>
        <w:tc>
          <w:tcPr>
            <w:tcW w:type="dxa" w:w="2016"/>
          </w:tcPr>
          <w:p>
            <w:r/>
            <w:r>
              <w:rPr>
                <w:sz w:val="17"/>
              </w:rPr>
              <w:t>Keep informed</w:t>
            </w:r>
          </w:p>
        </w:tc>
        <w:tc>
          <w:tcPr>
            <w:tcW w:type="dxa" w:w="3600"/>
          </w:tcPr>
          <w:p>
            <w:r/>
            <w:r>
              <w:rPr>
                <w:sz w:val="17"/>
              </w:rPr>
              <w:t>Groundwater protest at Pune; Right-to-Water petition</w:t>
            </w:r>
          </w:p>
        </w:tc>
      </w:tr>
      <w:tr>
        <w:tc>
          <w:tcPr>
            <w:tcW w:type="dxa" w:w="3024"/>
          </w:tcPr>
          <w:p>
            <w:r/>
            <w:r>
              <w:rPr>
                <w:sz w:val="17"/>
              </w:rPr>
              <w:t>Tier-3 Mine Workers</w:t>
            </w:r>
          </w:p>
        </w:tc>
        <w:tc>
          <w:tcPr>
            <w:tcW w:type="dxa" w:w="2016"/>
          </w:tcPr>
          <w:p>
            <w:r/>
            <w:r>
              <w:rPr>
                <w:sz w:val="17"/>
              </w:rPr>
              <w:t>Keep informed</w:t>
            </w:r>
          </w:p>
        </w:tc>
        <w:tc>
          <w:tcPr>
            <w:tcW w:type="dxa" w:w="3600"/>
          </w:tcPr>
          <w:p>
            <w:r/>
            <w:r>
              <w:rPr>
                <w:sz w:val="17"/>
              </w:rPr>
              <w:t>DRC cobalt supply chain; ILO flag; no PPE</w:t>
            </w:r>
          </w:p>
        </w:tc>
      </w:tr>
      <w:tr>
        <w:tc>
          <w:tcPr>
            <w:tcW w:type="dxa" w:w="3024"/>
          </w:tcPr>
          <w:p>
            <w:r/>
            <w:r>
              <w:rPr>
                <w:sz w:val="17"/>
              </w:rPr>
              <w:t>Factory Floor Employees</w:t>
            </w:r>
          </w:p>
        </w:tc>
        <w:tc>
          <w:tcPr>
            <w:tcW w:type="dxa" w:w="2016"/>
          </w:tcPr>
          <w:p>
            <w:r/>
            <w:r>
              <w:rPr>
                <w:sz w:val="17"/>
              </w:rPr>
              <w:t>Keep informed</w:t>
            </w:r>
          </w:p>
        </w:tc>
        <w:tc>
          <w:tcPr>
            <w:tcW w:type="dxa" w:w="3600"/>
          </w:tcPr>
          <w:p>
            <w:r/>
            <w:r>
              <w:rPr>
                <w:sz w:val="17"/>
              </w:rPr>
              <w:t>Overtime grievance; rising unionisation</w:t>
            </w:r>
          </w:p>
        </w:tc>
      </w:tr>
      <w:tr>
        <w:tc>
          <w:tcPr>
            <w:tcW w:type="dxa" w:w="3024"/>
          </w:tcPr>
          <w:p>
            <w:r/>
            <w:r>
              <w:rPr>
                <w:sz w:val="17"/>
              </w:rPr>
              <w:t>Institutional Syndicate Banks</w:t>
            </w:r>
          </w:p>
        </w:tc>
        <w:tc>
          <w:tcPr>
            <w:tcW w:type="dxa" w:w="2016"/>
          </w:tcPr>
          <w:p>
            <w:r/>
            <w:r>
              <w:rPr>
                <w:sz w:val="17"/>
              </w:rPr>
              <w:t>Keep satisfied</w:t>
            </w:r>
          </w:p>
        </w:tc>
        <w:tc>
          <w:tcPr>
            <w:tcW w:type="dxa" w:w="3600"/>
          </w:tcPr>
          <w:p>
            <w:r/>
            <w:r>
              <w:rPr>
                <w:sz w:val="17"/>
              </w:rPr>
              <w:t>€2.1B RCF with covenant triggers</w:t>
            </w:r>
          </w:p>
        </w:tc>
      </w:tr>
      <w:tr>
        <w:tc>
          <w:tcPr>
            <w:tcW w:type="dxa" w:w="3024"/>
          </w:tcPr>
          <w:p>
            <w:r/>
            <w:r>
              <w:rPr>
                <w:sz w:val="17"/>
              </w:rPr>
              <w:t>National Government Tax Authority</w:t>
            </w:r>
          </w:p>
        </w:tc>
        <w:tc>
          <w:tcPr>
            <w:tcW w:type="dxa" w:w="2016"/>
          </w:tcPr>
          <w:p>
            <w:r/>
            <w:r>
              <w:rPr>
                <w:sz w:val="17"/>
              </w:rPr>
              <w:t>Keep satisfied</w:t>
            </w:r>
          </w:p>
        </w:tc>
        <w:tc>
          <w:tcPr>
            <w:tcW w:type="dxa" w:w="3600"/>
          </w:tcPr>
          <w:p>
            <w:r/>
            <w:r>
              <w:rPr>
                <w:sz w:val="17"/>
              </w:rPr>
              <w:t>Transfer pricing; CBAM on the horizon</w:t>
            </w:r>
          </w:p>
        </w:tc>
      </w:tr>
      <w:tr>
        <w:tc>
          <w:tcPr>
            <w:tcW w:type="dxa" w:w="3024"/>
          </w:tcPr>
          <w:p>
            <w:r/>
            <w:r>
              <w:rPr>
                <w:sz w:val="17"/>
              </w:rPr>
              <w:t>Corporate Cafeteria Vendors</w:t>
            </w:r>
          </w:p>
        </w:tc>
        <w:tc>
          <w:tcPr>
            <w:tcW w:type="dxa" w:w="2016"/>
          </w:tcPr>
          <w:p>
            <w:r/>
            <w:r>
              <w:rPr>
                <w:sz w:val="17"/>
              </w:rPr>
              <w:t>Monitor</w:t>
            </w:r>
          </w:p>
        </w:tc>
        <w:tc>
          <w:tcPr>
            <w:tcW w:type="dxa" w:w="3600"/>
          </w:tcPr>
          <w:p>
            <w:r/>
            <w:r>
              <w:rPr>
                <w:sz w:val="17"/>
              </w:rPr>
              <w:t>Low-influence supplier</w:t>
            </w:r>
          </w:p>
        </w:tc>
      </w:tr>
      <w:tr>
        <w:tc>
          <w:tcPr>
            <w:tcW w:type="dxa" w:w="3024"/>
          </w:tcPr>
          <w:p>
            <w:r/>
            <w:r>
              <w:rPr>
                <w:sz w:val="17"/>
              </w:rPr>
              <w:t>General Public</w:t>
            </w:r>
          </w:p>
        </w:tc>
        <w:tc>
          <w:tcPr>
            <w:tcW w:type="dxa" w:w="2016"/>
          </w:tcPr>
          <w:p>
            <w:r/>
            <w:r>
              <w:rPr>
                <w:sz w:val="17"/>
              </w:rPr>
              <w:t>Monitor</w:t>
            </w:r>
          </w:p>
        </w:tc>
        <w:tc>
          <w:tcPr>
            <w:tcW w:type="dxa" w:w="3600"/>
          </w:tcPr>
          <w:p>
            <w:r/>
            <w:r>
              <w:rPr>
                <w:sz w:val="17"/>
              </w:rPr>
              <w:t>4% brand awareness (B2B)</w:t>
            </w:r>
          </w:p>
        </w:tc>
      </w:tr>
      <w:tr>
        <w:tc>
          <w:tcPr>
            <w:tcW w:type="dxa" w:w="3024"/>
          </w:tcPr>
          <w:p>
            <w:r/>
            <w:r>
              <w:rPr>
                <w:sz w:val="17"/>
              </w:rPr>
              <w:t>Regional Business Journalist</w:t>
            </w:r>
          </w:p>
        </w:tc>
        <w:tc>
          <w:tcPr>
            <w:tcW w:type="dxa" w:w="2016"/>
          </w:tcPr>
          <w:p>
            <w:r/>
            <w:r>
              <w:rPr>
                <w:sz w:val="17"/>
              </w:rPr>
              <w:t>Monitor / Keep informed</w:t>
            </w:r>
          </w:p>
        </w:tc>
        <w:tc>
          <w:tcPr>
            <w:tcW w:type="dxa" w:w="3600"/>
          </w:tcPr>
          <w:p>
            <w:r/>
            <w:r>
              <w:rPr>
                <w:sz w:val="17"/>
              </w:rPr>
              <w:t>Investigative reporter (J. Mehta, Deccan Herald)</w:t>
            </w:r>
          </w:p>
        </w:tc>
      </w:tr>
    </w:tbl>
    <w:p/>
    <w:p>
      <w:pPr>
        <w:pStyle w:val="Heading3"/>
      </w:pPr>
      <w:r>
        <w:rPr>
          <w:color w:val="0F2540"/>
        </w:rPr>
        <w:t>The reactive layer (NPC engine)</w:t>
      </w:r>
    </w:p>
    <w:p>
      <w:pPr>
        <w:spacing w:after="120"/>
      </w:pPr>
      <w:r>
        <w:t>Four of the mapped stakeholders are modelled as AI-driven NPCs that react each round, each voiced by a named representative and carrying a salience profile, satisfaction drivers, and a four-rung escalation ladder:</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shd w:val="clear" w:fill="1F3A5F"/>
          </w:tcPr>
          <w:p>
            <w:r/>
            <w:r>
              <w:rPr>
                <w:b/>
                <w:color w:val="FFFFFF"/>
                <w:sz w:val="17"/>
              </w:rPr>
              <w:t>Stakeholder (voice)</w:t>
            </w:r>
          </w:p>
        </w:tc>
        <w:tc>
          <w:tcPr>
            <w:tcW w:type="dxa" w:w="1872"/>
            <w:shd w:val="clear" w:fill="1F3A5F"/>
          </w:tcPr>
          <w:p>
            <w:r/>
            <w:r>
              <w:rPr>
                <w:b/>
                <w:color w:val="FFFFFF"/>
                <w:sz w:val="17"/>
              </w:rPr>
              <w:t>Salience (P/L/U)</w:t>
            </w:r>
          </w:p>
        </w:tc>
        <w:tc>
          <w:tcPr>
            <w:tcW w:type="dxa" w:w="3456"/>
            <w:shd w:val="clear" w:fill="1F3A5F"/>
          </w:tcPr>
          <w:p>
            <w:r/>
            <w:r>
              <w:rPr>
                <w:b/>
                <w:color w:val="FFFFFF"/>
                <w:sz w:val="17"/>
              </w:rPr>
              <w:t>Escalation ladder</w:t>
            </w:r>
          </w:p>
        </w:tc>
      </w:tr>
      <w:tr>
        <w:tc>
          <w:tcPr>
            <w:tcW w:type="dxa" w:w="3312"/>
          </w:tcPr>
          <w:p>
            <w:r/>
            <w:r>
              <w:rPr>
                <w:sz w:val="17"/>
              </w:rPr>
              <w:t>FutureFirst Activist Fund (Elise Thornton)</w:t>
            </w:r>
          </w:p>
        </w:tc>
        <w:tc>
          <w:tcPr>
            <w:tcW w:type="dxa" w:w="1872"/>
          </w:tcPr>
          <w:p>
            <w:r/>
            <w:r>
              <w:rPr>
                <w:sz w:val="17"/>
              </w:rPr>
              <w:t>0.85 / 0.70 / 0.90</w:t>
            </w:r>
          </w:p>
        </w:tc>
        <w:tc>
          <w:tcPr>
            <w:tcW w:type="dxa" w:w="3456"/>
          </w:tcPr>
          <w:p>
            <w:r/>
            <w:r>
              <w:rPr>
                <w:sz w:val="17"/>
              </w:rPr>
              <w:t>Supportive → Concerned → Public campaign → Proxy fight</w:t>
            </w:r>
          </w:p>
        </w:tc>
      </w:tr>
      <w:tr>
        <w:tc>
          <w:tcPr>
            <w:tcW w:type="dxa" w:w="3312"/>
          </w:tcPr>
          <w:p>
            <w:r/>
            <w:r>
              <w:rPr>
                <w:sz w:val="17"/>
              </w:rPr>
              <w:t>EU Regulators (Cmr. Sofia Petrova)</w:t>
            </w:r>
          </w:p>
        </w:tc>
        <w:tc>
          <w:tcPr>
            <w:tcW w:type="dxa" w:w="1872"/>
          </w:tcPr>
          <w:p>
            <w:r/>
            <w:r>
              <w:rPr>
                <w:sz w:val="17"/>
              </w:rPr>
              <w:t>0.95 / 0.95 / 0.60</w:t>
            </w:r>
          </w:p>
        </w:tc>
        <w:tc>
          <w:tcPr>
            <w:tcW w:type="dxa" w:w="3456"/>
          </w:tcPr>
          <w:p>
            <w:r/>
            <w:r>
              <w:rPr>
                <w:sz w:val="17"/>
              </w:rPr>
              <w:t>Compliant → Monitoring → Investigation → Enforcement</w:t>
            </w:r>
          </w:p>
        </w:tc>
      </w:tr>
      <w:tr>
        <w:tc>
          <w:tcPr>
            <w:tcW w:type="dxa" w:w="3312"/>
          </w:tcPr>
          <w:p>
            <w:r/>
            <w:r>
              <w:rPr>
                <w:sz w:val="17"/>
              </w:rPr>
              <w:t>Deccan Communities (Rajesh Patil)</w:t>
            </w:r>
          </w:p>
        </w:tc>
        <w:tc>
          <w:tcPr>
            <w:tcW w:type="dxa" w:w="1872"/>
          </w:tcPr>
          <w:p>
            <w:r/>
            <w:r>
              <w:rPr>
                <w:sz w:val="17"/>
              </w:rPr>
              <w:t>0.30 / 0.90 / 0.75</w:t>
            </w:r>
          </w:p>
        </w:tc>
        <w:tc>
          <w:tcPr>
            <w:tcW w:type="dxa" w:w="3456"/>
          </w:tcPr>
          <w:p>
            <w:r/>
            <w:r>
              <w:rPr>
                <w:sz w:val="17"/>
              </w:rPr>
              <w:t>Partnership → Watchful → Protest → Legal injunction</w:t>
            </w:r>
          </w:p>
        </w:tc>
      </w:tr>
      <w:tr>
        <w:tc>
          <w:tcPr>
            <w:tcW w:type="dxa" w:w="3312"/>
          </w:tcPr>
          <w:p>
            <w:r/>
            <w:r>
              <w:rPr>
                <w:sz w:val="17"/>
              </w:rPr>
              <w:t>Regional Journalist (Jaya Mehta)</w:t>
            </w:r>
          </w:p>
        </w:tc>
        <w:tc>
          <w:tcPr>
            <w:tcW w:type="dxa" w:w="1872"/>
          </w:tcPr>
          <w:p>
            <w:r/>
            <w:r>
              <w:rPr>
                <w:sz w:val="17"/>
              </w:rPr>
              <w:t>0.50 / 0.60 / 0.40</w:t>
            </w:r>
          </w:p>
        </w:tc>
        <w:tc>
          <w:tcPr>
            <w:tcW w:type="dxa" w:w="3456"/>
          </w:tcPr>
          <w:p>
            <w:r/>
            <w:r>
              <w:rPr>
                <w:sz w:val="17"/>
              </w:rPr>
              <w:t>Positive → Neutral → Critical → Viral exposé</w:t>
            </w:r>
          </w:p>
        </w:tc>
      </w:tr>
    </w:tbl>
    <w:p/>
    <w:p>
      <w:pPr>
        <w:spacing w:after="120"/>
      </w:pPr>
      <w:r>
        <w:t>Satisfaction is a weighted sum of each NPC's drivers (e.g. the community weights social licence +0.4 and water stress −0.3); the tier selected is the worst whose threshold the gating metric clears.</w:t>
      </w:r>
    </w:p>
    <w:p>
      <w:pPr>
        <w:pStyle w:val="Heading3"/>
      </w:pPr>
      <w:r>
        <w:rPr>
          <w:color w:val="0F2540"/>
        </w:rPr>
        <w:t>Consequence design</w:t>
      </w:r>
    </w:p>
    <w:p>
      <w:pPr>
        <w:spacing w:after="120"/>
      </w:pPr>
      <w:r>
        <w:t>At low satisfaction, NPCs cross discrete reaction gates with hard effects — a divestment campaign (treasury −5%, reputation −8), a regulator enforcement action (fine ≈4% of revenue plus mandatory disclosure), a community court injunction (SLO −10), or a Gen-Z mass resignation (burnout +15, OPEX +8%). Each cascade lists the stakeholders it drags along, and the journalist is the recurring amplification target. Low SLO independently raises the probability of a revenue-zeroing strike, and repeated crises trigger stakeholder fatigue, where recovery efficiency = 1 / (1 + 0.3 × crises).</w:t>
      </w:r>
    </w:p>
    <w:p>
      <w:pPr>
        <w:pStyle w:val="Heading3"/>
      </w:pPr>
      <w:r>
        <w:rPr>
          <w:color w:val="0F2540"/>
        </w:rPr>
        <w:t>The six behaviour waves (optional depth)</w:t>
      </w:r>
    </w:p>
    <w:p>
      <w:pPr>
        <w:spacing w:after="120"/>
      </w:pPr>
      <w:r>
        <w:t>Six waves deepen the reactivity, each independently switchable per cohort and off by default — the design's answer to the gap between a deterministic gauge and a real relationship.</w:t>
      </w:r>
    </w:p>
    <w:tbl>
      <w:tblPr>
        <w:tblStyle w:val="LightGrid-Accent1"/>
        <w:tblW w:type="auto" w:w="0"/>
        <w:jc w:val="center"/>
        <w:tblLook w:firstColumn="1" w:firstRow="1" w:lastColumn="0" w:lastRow="0" w:noHBand="0" w:noVBand="1" w:val="04A0"/>
      </w:tblPr>
      <w:tblGrid>
        <w:gridCol w:w="4320"/>
        <w:gridCol w:w="4320"/>
      </w:tblGrid>
      <w:tr>
        <w:tc>
          <w:tcPr>
            <w:tcW w:type="dxa" w:w="1872"/>
            <w:shd w:val="clear" w:fill="1F3A5F"/>
          </w:tcPr>
          <w:p>
            <w:r/>
            <w:r>
              <w:rPr>
                <w:b/>
                <w:color w:val="FFFFFF"/>
                <w:sz w:val="17"/>
              </w:rPr>
              <w:t>Wave</w:t>
            </w:r>
          </w:p>
        </w:tc>
        <w:tc>
          <w:tcPr>
            <w:tcW w:type="dxa" w:w="6768"/>
            <w:shd w:val="clear" w:fill="1F3A5F"/>
          </w:tcPr>
          <w:p>
            <w:r/>
            <w:r>
              <w:rPr>
                <w:b/>
                <w:color w:val="FFFFFF"/>
                <w:sz w:val="17"/>
              </w:rPr>
              <w:t>Design rationale + key mechanic</w:t>
            </w:r>
          </w:p>
        </w:tc>
      </w:tr>
      <w:tr>
        <w:tc>
          <w:tcPr>
            <w:tcW w:type="dxa" w:w="1872"/>
          </w:tcPr>
          <w:p>
            <w:r/>
            <w:r>
              <w:rPr>
                <w:sz w:val="17"/>
              </w:rPr>
              <w:t>F1 — Memory</w:t>
            </w:r>
          </w:p>
        </w:tc>
        <w:tc>
          <w:tcPr>
            <w:tcW w:type="dxa" w:w="6768"/>
          </w:tcPr>
          <w:p>
            <w:r/>
            <w:r>
              <w:rPr>
                <w:sz w:val="17"/>
              </w:rPr>
              <w:t>Real stakeholders have history. A trust stock integrates satisfaction asymmetrically (gain 0.25, loss 0.55) with a betrayal scar (−12, recovery capped at 60 for 3 rounds); a sentiment bridge keeps named NPCs consistent with the portfolio view.</w:t>
            </w:r>
          </w:p>
        </w:tc>
      </w:tr>
      <w:tr>
        <w:tc>
          <w:tcPr>
            <w:tcW w:type="dxa" w:w="1872"/>
          </w:tcPr>
          <w:p>
            <w:r/>
            <w:r>
              <w:rPr>
                <w:sz w:val="17"/>
              </w:rPr>
              <w:t>F2 — SLO feedback</w:t>
            </w:r>
          </w:p>
        </w:tc>
        <w:tc>
          <w:tcPr>
            <w:tcW w:type="dxa" w:w="6768"/>
          </w:tcPr>
          <w:p>
            <w:r/>
            <w:r>
              <w:rPr>
                <w:sz w:val="17"/>
              </w:rPr>
              <w:t>Discontent should bite between the discrete cliffs. Each tier applies a per-BU nudge (+1 / 0 / −2 / −3.5) × coupling, suppressing any NPC that cascades the same round (no double count).</w:t>
            </w:r>
          </w:p>
        </w:tc>
      </w:tr>
      <w:tr>
        <w:tc>
          <w:tcPr>
            <w:tcW w:type="dxa" w:w="1872"/>
          </w:tcPr>
          <w:p>
            <w:r/>
            <w:r>
              <w:rPr>
                <w:sz w:val="17"/>
              </w:rPr>
              <w:t>F3 — Coalitions</w:t>
            </w:r>
          </w:p>
        </w:tc>
        <w:tc>
          <w:tcPr>
            <w:tcW w:type="dxa" w:w="6768"/>
          </w:tcPr>
          <w:p>
            <w:r/>
            <w:r>
              <w:rPr>
                <w:sz w:val="17"/>
              </w:rPr>
              <w:t>Stakeholder risk is correlated. ≥2 hostile stakeholders raise coalition_pressure = min(1, mean_salience·(count−1)), amplifying F2 and strike risk; fired cascades nudge named targets one hop.</w:t>
            </w:r>
          </w:p>
        </w:tc>
      </w:tr>
      <w:tr>
        <w:tc>
          <w:tcPr>
            <w:tcW w:type="dxa" w:w="1872"/>
          </w:tcPr>
          <w:p>
            <w:r/>
            <w:r>
              <w:rPr>
                <w:sz w:val="17"/>
              </w:rPr>
              <w:t>F4 — Uncertainty</w:t>
            </w:r>
          </w:p>
        </w:tc>
        <w:tc>
          <w:tcPr>
            <w:tcW w:type="dxa" w:w="6768"/>
          </w:tcPr>
          <w:p>
            <w:r/>
            <w:r>
              <w:rPr>
                <w:sz w:val="17"/>
              </w:rPr>
              <w:t>Fixed tipping points are gameable. Thresholds are jittered ±4 (seeded per cohort — fair but unknown) and a patience clock forces escalation after 3 rounds at a wary tier.</w:t>
            </w:r>
          </w:p>
        </w:tc>
      </w:tr>
      <w:tr>
        <w:tc>
          <w:tcPr>
            <w:tcW w:type="dxa" w:w="1872"/>
          </w:tcPr>
          <w:p>
            <w:r/>
            <w:r>
              <w:rPr>
                <w:sz w:val="17"/>
              </w:rPr>
              <w:t>F5 — Promises</w:t>
            </w:r>
          </w:p>
        </w:tc>
        <w:tc>
          <w:tcPr>
            <w:tcW w:type="dxa" w:w="6768"/>
          </w:tcPr>
          <w:p>
            <w:r/>
            <w:r>
              <w:rPr>
                <w:sz w:val="17"/>
              </w:rPr>
              <w:t>Stakeholder management is dialogic. Town halls, public pledges and private commitments enter a ledger; kept promises pay trust/SLO/reputation, broken ones fire the F1 scar.</w:t>
            </w:r>
          </w:p>
        </w:tc>
      </w:tr>
      <w:tr>
        <w:tc>
          <w:tcPr>
            <w:tcW w:type="dxa" w:w="1872"/>
          </w:tcPr>
          <w:p>
            <w:r/>
            <w:r>
              <w:rPr>
                <w:sz w:val="17"/>
              </w:rPr>
              <w:t>F6 — Intel</w:t>
            </w:r>
          </w:p>
        </w:tc>
        <w:tc>
          <w:tcPr>
            <w:tcW w:type="dxa" w:w="6768"/>
          </w:tcPr>
          <w:p>
            <w:r/>
            <w:r>
              <w:rPr>
                <w:sz w:val="17"/>
              </w:rPr>
              <w:t>Read the person, not the number. A read-only emitter surfaces demand, leverage and trend per stakeholder; raw scores stay in the facilitator view.</w:t>
            </w:r>
          </w:p>
        </w:tc>
      </w:tr>
    </w:tbl>
    <w:p/>
    <w:p>
      <w:pPr>
        <w:pStyle w:val="Heading3"/>
      </w:pPr>
      <w:r>
        <w:rPr>
          <w:color w:val="0F2540"/>
        </w:rPr>
        <w:t>Decision flow and determinism</w:t>
      </w:r>
    </w:p>
    <w:p>
      <w:pPr>
        <w:spacing w:after="120"/>
      </w:pPr>
      <w:r>
        <w:t>A single commit produces a single tick. SLO is finalised for the round's economics in the engine tick, then the stakeholder engines run in a fixed order: feeling (satisfaction → trust → escalation) → coalition detection → continuous SLO feedback → cascade effects → promise resolution → intel emission → tipping caps. The double-count guard runs continuous feedback after cascade detection but before cascade effects, suppressing cascaded NPCs. All randomness flows through a seeded per-cohort stream, so every team faces the same rolls.</w:t>
      </w:r>
    </w:p>
    <w:p>
      <w:pPr>
        <w:spacing w:line="240" w:lineRule="auto" w:before="120" w:after="40"/>
        <w:jc w:val="center"/>
      </w:pPr>
      <w:r>
        <w:drawing>
          <wp:inline xmlns:a="http://schemas.openxmlformats.org/drawingml/2006/main" xmlns:pic="http://schemas.openxmlformats.org/drawingml/2006/picture">
            <wp:extent cx="4297680" cy="5418814"/>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297680" cy="5418814"/>
                    </a:xfrm>
                    <a:prstGeom prst="rect"/>
                  </pic:spPr>
                </pic:pic>
              </a:graphicData>
            </a:graphic>
          </wp:inline>
        </w:drawing>
      </w:r>
    </w:p>
    <w:p>
      <w:pPr>
        <w:spacing w:line="240" w:lineRule="auto"/>
        <w:jc w:val="center"/>
      </w:pPr>
      <w:r>
        <w:rPr>
          <w:i/>
          <w:color w:val="555555"/>
          <w:sz w:val="18"/>
        </w:rPr>
        <w:t>Figure — the round pipeline. Steps 3–8 are the stakeholder engines, each gated and non-fatal.</w:t>
      </w:r>
    </w:p>
    <w:p>
      <w:pPr>
        <w:pStyle w:val="Heading3"/>
      </w:pPr>
      <w:r>
        <w:rPr>
          <w:color w:val="0F2540"/>
        </w:rPr>
        <w:t>Configuration, gating and safety</w:t>
      </w:r>
    </w:p>
    <w:p>
      <w:pPr>
        <w:spacing w:after="120"/>
      </w:pPr>
      <w:r>
        <w:t>Every wave is a per-cohort pedagogical toggle, all off by default and flippable in the cohort-setup screen without code. With every wave off, behaviour is byte-identical to the prior baseline, guaranteed by a seeded golden round-trace oracle. Each engine runs in an isolated, fault-tolerant step (logged and skipped on error, never blocking a round), and all numeric parameters resolve through the configuration workbook, so they are tunable without a code change. A defined but dormant extension point (a Gen-Z employee NPC) and a portfolio-wide sentiment layer sit alongside the four active reactive NPCs for future expansion.</w:t>
      </w:r>
    </w:p>
    <w:p>
      <w:pPr>
        <w:pStyle w:val="Heading2"/>
      </w:pPr>
      <w:r>
        <w:t>Appendix A — Platform Change Log (v1.1 → v1.2)</w:t>
      </w:r>
    </w:p>
    <w:p>
      <w:pPr>
        <w:pStyle w:val="BodyText"/>
      </w:pPr>
      <w:r>
        <w:t>This appendix records the platform-level changes made in the 2026-07-12 hardening and simplification pass. These are UX, security, and quality-assurance changes to how the simulation is operated and experienced; the pedagogical model, round mechanics, scoring, engine math, and the RBAC role ladder (Section 15) are unchanged. Every change was landed behind the standing test protocol — one commit per phase, endpoint-contract diff to prove the data flow is unchanged, backend pytest and frontend jest suites green, and a player end-to-end smoke — and each is independently revertible.</w:t>
      </w:r>
    </w:p>
    <w:p>
      <w:pPr>
        <w:pStyle w:val="Heading3"/>
      </w:pPr>
      <w:r>
        <w:t>A.1 Admin Console Hardening (v3, phases S1–S5)</w:t>
      </w:r>
    </w:p>
    <w:p>
      <w:pPr>
        <w:pStyle w:val="BodyText"/>
      </w:pPr>
      <w:r>
        <w:t>The God Mode and Facilitator consoles were hardened against mid-session error under time pressure. Chrome-truth and routing hygiene (S1): the Live Console links were restored to the God Mode sidebar; a dead router case was removed; the Facilitator home became role-aware so quick actions and alerts never invite a click that lands on a "not available" panel; keyboard shortcuts derive from the role’s actual sidebar groups; and each projector console now states its true scope and distinguishes "signed out" from "backend unreachable".</w:t>
      </w:r>
    </w:p>
    <w:p>
      <w:pPr>
        <w:pStyle w:val="BodyText"/>
      </w:pPr>
      <w:r>
        <w:t>Feedback completeness (S2): the Trading-Floor "Ring the Bell" now only claims "Market Closed" when the broadcast actually succeeded — a failed broadcast keeps the board live and offers a retry — and a "reopen board" affordance was added. The Excel facilitator bulk-upload gained an explicit pre-flight confirm and a per-row result panel that surfaces each account’s one-time password. The God Mode master-password (break-glass) entry was separated from the routine password button.</w:t>
      </w:r>
    </w:p>
    <w:p>
      <w:pPr>
        <w:pStyle w:val="BodyText"/>
      </w:pPr>
      <w:r>
        <w:t>Destructive-console targeting integrity (S3): the Shockwave console no longer auto-selects a cohort; detonation and the closing-bell both go through a tier-2 confirm that states the true blast radius (cohort name, team count, per-team impact for Shockwave; all-connected-players for the bell), and Cancel sends nothing. Cohort creation now resolves the operator’s real role consistently at both entry points, with an explicit project_admin provisioning branch. The Shockwave crisis catalog is pinned to the engine’s values by a drift-tripwire test.</w:t>
      </w:r>
    </w:p>
    <w:p>
      <w:pPr>
        <w:pStyle w:val="BodyText"/>
      </w:pPr>
      <w:r>
        <w:t>Rehearsal mode surfaced (S4): the Shockwave console gained a "Rehearse (no student impact)" action that previews a crisis on the facilitator’s screen only. It was proven live to change no game state (player KPIs byte-identical before and after) and to be attributable in the audit trail as shockwave_rehearsal.</w:t>
      </w:r>
    </w:p>
    <w:p>
      <w:pPr>
        <w:pStyle w:val="BodyText"/>
      </w:pPr>
      <w:r>
        <w:t>Backend-gated items (S5): a create-cohort permission (can_create_cohorts) now drives the button’s visibility truthfully; a read-only shockwave-events catalog endpoint and a parse-only Excel bulk-upload preview endpoint were added (each with tests and graceful feature-detection so older clients degrade safely).</w:t>
      </w:r>
    </w:p>
    <w:p>
      <w:pPr>
        <w:pStyle w:val="Heading3"/>
      </w:pPr>
      <w:r>
        <w:t>A.2 Player Dashboard Simplification (v2, phases V-A–V-D)</w:t>
      </w:r>
    </w:p>
    <w:p>
      <w:pPr>
        <w:pStyle w:val="BodyText"/>
      </w:pPr>
      <w:r>
        <w:t>The player cockpit was simplified without changing the round flow, gating, or scoring — a presentation-layer pass governed by a new "one surface, one slot" rule now recorded in the repository conventions. Retrospective content — "What Happened This Round" and the "Road Not Taken" counterfactual — moved from the always-on side rail into the results stage, where the learning lands, with an on-demand recap link left in the rail (V-A). Pre-gate, the strategic options and the allocation matrix render as locked summaries naming their unlock instead of full prose behind an invisible click-intercept (V-B/V-C). The centre column now shows exactly one work surface at a time (options fold to a one-line summary once the decision is made; the matrix then expands), the context rail opens one section at a time, and the round-flow stepper is docked at the foot of the column rather than floating over content (V-C). A design-token pass unified the colours of the surfaces added since the prior redesign, and the ambient projector layer now dims during BU drill-down as well as allocation (V-D). Per an owner request, the "Active Infrastructure Projects" panel (working-capital and synergy timers) was removed from the player screen; the underlying data remains in the payload.</w:t>
      </w:r>
    </w:p>
    <w:p>
      <w:pPr>
        <w:pStyle w:val="Heading3"/>
      </w:pPr>
      <w:r>
        <w:t>A.3 Role-Aware Login (phase L)</w:t>
      </w:r>
    </w:p>
    <w:p>
      <w:pPr>
        <w:pStyle w:val="BodyText"/>
      </w:pPr>
      <w:r>
        <w:t>The admin entry point was redesigned so that no privileged portal is advertised before authentication. Previously the /admin page presented a two-card "System Access Portal" that named "God Mode — Super Admin" to every visitor and required self-selecting a portal before logging in. It is now a single neutral sign-in form: the user authenticates, the server returns the authoritative role, and the client routes the identity to the one dashboard it owns — super_admin and god_mode to the God Mode console; facilitator, lead_facilitator, and project_admin to the facilitator portal (which itself renders the correct role-filtered view). A facilitator never sees a God Mode option because there is no portal card to see. Direct navigation to the God Mode route by an unauthenticated visitor is redirected to the neutral sign-in, and a signed-in non-admin is bounced to their own dashboard rather than shown a god-mode error. This is a UX/routing change only: the JWT-cookie session, the level-gated authorization guards, and the role ladder of Section 15 remain the authoritative security boundary and are unchanged. A role-routing helper (isAdminRole/roleHome) is the single source of truth for the destination and is covered by unit tests; the routing was additionally verified live for all five identities.</w:t>
      </w:r>
    </w:p>
    <w:p>
      <w:pPr>
        <w:pStyle w:val="Heading3"/>
      </w:pPr>
      <w:r>
        <w:t>A.4 Platform, Security &amp; Quality Assurance</w:t>
      </w:r>
    </w:p>
    <w:p>
      <w:pPr>
        <w:pStyle w:val="BodyText"/>
      </w:pPr>
      <w:r>
        <w:t>A continuous-integration release gate was added: on every push and pull request the backend test suite (1,018 tests), the frontend test suite, and a production build must pass before merge. Standing up CI surfaced and fixed a latent production dependency (openpyxl was imported at runtime by the Excel bulk-upload endpoints but missing from the dependency manifest, so those endpoints would have failed in production). The /health endpoint’s memory-database detection was fixed — it had been dead code that could misreport a genuine in-memory fallback as PostgreSQL, hiding the exact data-loss risk the player "demo mode" banner exists to warn about; the banner was also relocated off the docked stepper’s lane. Smaller corrections in the same pass: the Investment Matrix SORT control is hidden in the single-business-unit edition (nothing to sort), and the Strategic Breakdown panel’s hover copy was made truthful about where per-option detail is shown.</w:t>
      </w:r>
    </w:p>
    <w:p>
      <w:pPr>
        <w:pStyle w:val="BodyText"/>
      </w:pPr>
      <w:r>
        <w:t>A companion four-lens review (pedagogy, architecture, security, quality assurance) was produced alongside these changes. Its two highest-priority open items are recorded for a future revision: removing the committed master-password fallback in configuration (empty should mean disabled, with a history scrub and rotation), and decomposing the two large router modules. Neither is changed in this revision.</w:t>
      </w:r>
    </w:p>
    <w:sectPr w:rsidR="003743EC" w:rsidSect="005A7B8D">
      <w:pgSz w:w="12240" w:h="15840"/>
      <w:pgMar w:top="993"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3E93" w14:textId="77777777" w:rsidR="007764BF" w:rsidRDefault="007764BF" w:rsidP="005A7B8D">
      <w:pPr>
        <w:spacing w:after="0" w:line="240" w:lineRule="auto"/>
      </w:pPr>
      <w:r>
        <w:separator/>
      </w:r>
    </w:p>
  </w:endnote>
  <w:endnote w:type="continuationSeparator" w:id="0">
    <w:p w14:paraId="5AB51844" w14:textId="77777777" w:rsidR="007764BF" w:rsidRDefault="007764BF" w:rsidP="005A7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CAE2E" w14:textId="20E4C247" w:rsidR="005A7B8D" w:rsidRDefault="005A7B8D" w:rsidP="005A7B8D">
    <w:pPr>
      <w:pStyle w:val="Footer"/>
      <w:rPr>
        <w:b/>
        <w:bCs/>
        <w:sz w:val="20"/>
        <w:szCs w:val="20"/>
      </w:rPr>
    </w:pPr>
    <w:r>
      <w:rPr>
        <w:b/>
        <w:bCs/>
        <w:sz w:val="20"/>
        <w:szCs w:val="20"/>
      </w:rPr>
      <w:t>______________________________________________________________________________________</w:t>
    </w:r>
  </w:p>
  <w:p w14:paraId="12A7964A" w14:textId="06909A5B" w:rsidR="005A7B8D" w:rsidRPr="005A7B8D" w:rsidRDefault="0022200D" w:rsidP="005A7B8D">
    <w:pPr>
      <w:pStyle w:val="Footer"/>
      <w:rPr>
        <w:sz w:val="20"/>
        <w:szCs w:val="20"/>
      </w:rPr>
    </w:pPr>
    <w:r>
      <w:rPr>
        <w:sz w:val="20"/>
        <w:szCs w:val="20"/>
      </w:rPr>
      <w:t xml:space="preserve">© </w:t>
    </w:r>
    <w:proofErr w:type="spellStart"/>
    <w:r w:rsidR="005A7B8D" w:rsidRPr="005A7B8D">
      <w:rPr>
        <w:sz w:val="20"/>
        <w:szCs w:val="20"/>
      </w:rPr>
      <w:t>Muressons</w:t>
    </w:r>
    <w:proofErr w:type="spellEnd"/>
    <w:r w:rsidR="005A7B8D" w:rsidRPr="005A7B8D">
      <w:rPr>
        <w:sz w:val="20"/>
        <w:szCs w:val="20"/>
      </w:rPr>
      <w:t xml:space="preserve"> Simulation — Simulation Design Document (SDD) — v1.2 — 2026-07-12</w:t>
    </w:r>
  </w:p>
  <w:p w14:paraId="2689AD49" w14:textId="5C82640F" w:rsidR="005A7B8D" w:rsidRDefault="005A7B8D" w:rsidP="005A7B8D">
    <w:pPr>
      <w:pStyle w:val="Footer"/>
    </w:pPr>
    <w:r w:rsidRPr="005A7B8D">
      <w:rPr>
        <w:sz w:val="20"/>
        <w:szCs w:val="20"/>
      </w:rPr>
      <w:t>Internal document. Not for distribution outside curriculum design and facilitation teams.</w:t>
    </w:r>
    <w:r w:rsidRPr="005A7B8D">
      <w:rPr>
        <w:sz w:val="18"/>
        <w:szCs w:val="18"/>
      </w:rPr>
      <w:t xml:space="preserve"> </w:t>
    </w:r>
    <w:r w:rsidR="0022200D">
      <w:rPr>
        <w:sz w:val="18"/>
        <w:szCs w:val="18"/>
      </w:rPr>
      <w:t xml:space="preserve">                             </w:t>
    </w:r>
    <w:r w:rsidRPr="005A7B8D">
      <w:rPr>
        <w:sz w:val="20"/>
        <w:szCs w:val="20"/>
      </w:rPr>
      <w:fldChar w:fldCharType="begin"/>
    </w:r>
    <w:r w:rsidRPr="005A7B8D">
      <w:rPr>
        <w:sz w:val="20"/>
        <w:szCs w:val="20"/>
      </w:rPr>
      <w:instrText xml:space="preserve"> PAGE  \* Arabic </w:instrText>
    </w:r>
    <w:r w:rsidRPr="005A7B8D">
      <w:rPr>
        <w:sz w:val="20"/>
        <w:szCs w:val="20"/>
      </w:rPr>
      <w:fldChar w:fldCharType="separate"/>
    </w:r>
    <w:r w:rsidRPr="005A7B8D">
      <w:rPr>
        <w:sz w:val="20"/>
        <w:szCs w:val="20"/>
      </w:rPr>
      <w:t>1</w:t>
    </w:r>
    <w:r w:rsidRPr="005A7B8D">
      <w:rPr>
        <w:sz w:val="20"/>
        <w:szCs w:val="20"/>
      </w:rPr>
      <w:fldChar w:fldCharType="end"/>
    </w:r>
  </w:p>
  <w:p w14:paraId="3FF71D1C" w14:textId="0AC99A5F" w:rsidR="005A7B8D" w:rsidRDefault="005A7B8D" w:rsidP="005A7B8D">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BA1C7" w14:textId="77777777" w:rsidR="007764BF" w:rsidRDefault="007764BF" w:rsidP="005A7B8D">
      <w:pPr>
        <w:spacing w:after="0" w:line="240" w:lineRule="auto"/>
      </w:pPr>
      <w:r>
        <w:separator/>
      </w:r>
    </w:p>
  </w:footnote>
  <w:footnote w:type="continuationSeparator" w:id="0">
    <w:p w14:paraId="1609B73B" w14:textId="77777777" w:rsidR="007764BF" w:rsidRDefault="007764BF" w:rsidP="005A7B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4A448F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9EF483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FE5C9F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25730723">
    <w:abstractNumId w:val="8"/>
  </w:num>
  <w:num w:numId="2" w16cid:durableId="62025455">
    <w:abstractNumId w:val="6"/>
  </w:num>
  <w:num w:numId="3" w16cid:durableId="1048260754">
    <w:abstractNumId w:val="5"/>
  </w:num>
  <w:num w:numId="4" w16cid:durableId="1923445673">
    <w:abstractNumId w:val="4"/>
  </w:num>
  <w:num w:numId="5" w16cid:durableId="1881285095">
    <w:abstractNumId w:val="7"/>
  </w:num>
  <w:num w:numId="6" w16cid:durableId="1324238392">
    <w:abstractNumId w:val="3"/>
  </w:num>
  <w:num w:numId="7" w16cid:durableId="874586717">
    <w:abstractNumId w:val="2"/>
  </w:num>
  <w:num w:numId="8" w16cid:durableId="359286359">
    <w:abstractNumId w:val="1"/>
  </w:num>
  <w:num w:numId="9" w16cid:durableId="560988745">
    <w:abstractNumId w:val="0"/>
  </w:num>
  <w:num w:numId="10" w16cid:durableId="998003363">
    <w:abstractNumId w:val="9"/>
  </w:num>
  <w:num w:numId="11" w16cid:durableId="21233770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79200120">
    <w:abstractNumId w:val="10"/>
  </w:num>
  <w:num w:numId="13" w16cid:durableId="3765889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97984796">
    <w:abstractNumId w:val="10"/>
  </w:num>
  <w:num w:numId="15" w16cid:durableId="1223173672">
    <w:abstractNumId w:val="10"/>
  </w:num>
  <w:num w:numId="16" w16cid:durableId="17177747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00D"/>
    <w:rsid w:val="0029639D"/>
    <w:rsid w:val="00326F90"/>
    <w:rsid w:val="003743EC"/>
    <w:rsid w:val="00456AF3"/>
    <w:rsid w:val="005A7B8D"/>
    <w:rsid w:val="00623A46"/>
    <w:rsid w:val="007413EA"/>
    <w:rsid w:val="007764BF"/>
    <w:rsid w:val="007C4CA2"/>
    <w:rsid w:val="008C645C"/>
    <w:rsid w:val="00AA1D8D"/>
    <w:rsid w:val="00B47730"/>
    <w:rsid w:val="00C643BC"/>
    <w:rsid w:val="00CB0664"/>
    <w:rsid w:val="00CE0885"/>
    <w:rsid w:val="00CE26CC"/>
    <w:rsid w:val="00E44857"/>
    <w:rsid w:val="00E632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67135"/>
  <w15:docId w15:val="{664C92D0-CAB5-408A-93EC-2D18F29E4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0" w:lineRule="exact"/>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2B5B"/>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005A9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758C"/>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b/>
      <w:bCs/>
      <w:i/>
      <w:iCs/>
      <w:color w:val="3C3C3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Text1">
    <w:name w:val="Block Text1"/>
    <w:basedOn w:val="Normal"/>
    <w:pPr>
      <w:spacing w:before="80" w:after="80"/>
      <w:ind w:left="720"/>
    </w:pPr>
    <w:rPr>
      <w:i/>
      <w:color w:val="505050"/>
    </w:rPr>
  </w:style>
  <w:style w:type="paragraph" w:customStyle="1" w:styleId="SourceCode">
    <w:name w:val="Source Code"/>
    <w:basedOn w:val="Normal"/>
    <w:pPr>
      <w:shd w:val="clear" w:color="auto" w:fill="F4F4F4"/>
      <w:spacing w:before="40" w:after="40"/>
    </w:pPr>
    <w:rPr>
      <w:rFonts w:ascii="Courier New" w:hAnsi="Courier New"/>
      <w:sz w:val="18"/>
    </w:rPr>
  </w:style>
  <w:style w:type="character" w:customStyle="1" w:styleId="VerbatimChar">
    <w:name w:val="Verbatim Char"/>
    <w:rPr>
      <w:rFonts w:ascii="Courier New" w:hAnsi="Courier New"/>
      <w:sz w:val="20"/>
    </w:rPr>
  </w:style>
  <w:style w:type="character" w:customStyle="1" w:styleId="KeywordTok">
    <w:name w:val="KeywordTok"/>
    <w:basedOn w:val="VerbatimChar"/>
    <w:rPr>
      <w:rFonts w:ascii="Courier New" w:hAnsi="Courier New"/>
      <w:b/>
      <w:color w:val="007020"/>
      <w:sz w:val="20"/>
    </w:rPr>
  </w:style>
  <w:style w:type="character" w:customStyle="1" w:styleId="DataTypeTok">
    <w:name w:val="DataTypeTok"/>
    <w:basedOn w:val="VerbatimChar"/>
    <w:rPr>
      <w:rFonts w:ascii="Courier New" w:hAnsi="Courier New"/>
      <w:color w:val="902000"/>
      <w:sz w:val="20"/>
    </w:rPr>
  </w:style>
  <w:style w:type="character" w:customStyle="1" w:styleId="DecValTok">
    <w:name w:val="DecValTok"/>
    <w:basedOn w:val="VerbatimChar"/>
    <w:rPr>
      <w:rFonts w:ascii="Courier New" w:hAnsi="Courier New"/>
      <w:color w:val="40A070"/>
      <w:sz w:val="20"/>
    </w:rPr>
  </w:style>
  <w:style w:type="character" w:customStyle="1" w:styleId="BaseNTok">
    <w:name w:val="BaseNTok"/>
    <w:basedOn w:val="VerbatimChar"/>
    <w:rPr>
      <w:rFonts w:ascii="Courier New" w:hAnsi="Courier New"/>
      <w:color w:val="40A070"/>
      <w:sz w:val="20"/>
    </w:rPr>
  </w:style>
  <w:style w:type="character" w:customStyle="1" w:styleId="FloatTok">
    <w:name w:val="FloatTok"/>
    <w:basedOn w:val="VerbatimChar"/>
    <w:rPr>
      <w:rFonts w:ascii="Courier New" w:hAnsi="Courier New"/>
      <w:color w:val="40A070"/>
      <w:sz w:val="20"/>
    </w:rPr>
  </w:style>
  <w:style w:type="character" w:customStyle="1" w:styleId="ConstantTok">
    <w:name w:val="ConstantTok"/>
    <w:basedOn w:val="VerbatimChar"/>
    <w:rPr>
      <w:rFonts w:ascii="Courier New" w:hAnsi="Courier New"/>
      <w:color w:val="880000"/>
      <w:sz w:val="20"/>
    </w:rPr>
  </w:style>
  <w:style w:type="character" w:customStyle="1" w:styleId="CharTok">
    <w:name w:val="CharTok"/>
    <w:basedOn w:val="VerbatimChar"/>
    <w:rPr>
      <w:rFonts w:ascii="Courier New" w:hAnsi="Courier New"/>
      <w:color w:val="4070A0"/>
      <w:sz w:val="20"/>
    </w:rPr>
  </w:style>
  <w:style w:type="character" w:customStyle="1" w:styleId="SpecialCharTok">
    <w:name w:val="SpecialCharTok"/>
    <w:basedOn w:val="VerbatimChar"/>
    <w:rPr>
      <w:rFonts w:ascii="Courier New" w:hAnsi="Courier New"/>
      <w:color w:val="4070A0"/>
      <w:sz w:val="20"/>
    </w:rPr>
  </w:style>
  <w:style w:type="character" w:customStyle="1" w:styleId="StringTok">
    <w:name w:val="StringTok"/>
    <w:basedOn w:val="VerbatimChar"/>
    <w:rPr>
      <w:rFonts w:ascii="Courier New" w:hAnsi="Courier New"/>
      <w:color w:val="4070A0"/>
      <w:sz w:val="20"/>
    </w:rPr>
  </w:style>
  <w:style w:type="character" w:customStyle="1" w:styleId="VerbatimStringTok">
    <w:name w:val="VerbatimStringTok"/>
    <w:basedOn w:val="VerbatimChar"/>
    <w:rPr>
      <w:rFonts w:ascii="Courier New" w:hAnsi="Courier New"/>
      <w:color w:val="4070A0"/>
      <w:sz w:val="20"/>
    </w:rPr>
  </w:style>
  <w:style w:type="character" w:customStyle="1" w:styleId="SpecialStringTok">
    <w:name w:val="SpecialStringTok"/>
    <w:basedOn w:val="VerbatimChar"/>
    <w:rPr>
      <w:rFonts w:ascii="Courier New" w:hAnsi="Courier New"/>
      <w:color w:val="BB6688"/>
      <w:sz w:val="20"/>
    </w:rPr>
  </w:style>
  <w:style w:type="character" w:customStyle="1" w:styleId="ImportTok">
    <w:name w:val="ImportTok"/>
    <w:basedOn w:val="VerbatimChar"/>
    <w:rPr>
      <w:rFonts w:ascii="Courier New" w:hAnsi="Courier New"/>
      <w:b/>
      <w:color w:val="008000"/>
      <w:sz w:val="20"/>
    </w:rPr>
  </w:style>
  <w:style w:type="character" w:customStyle="1" w:styleId="CommentTok">
    <w:name w:val="CommentTok"/>
    <w:basedOn w:val="VerbatimChar"/>
    <w:rPr>
      <w:rFonts w:ascii="Courier New" w:hAnsi="Courier New"/>
      <w:i/>
      <w:color w:val="60A0B0"/>
      <w:sz w:val="20"/>
    </w:rPr>
  </w:style>
  <w:style w:type="character" w:customStyle="1" w:styleId="DocumentationTok">
    <w:name w:val="DocumentationTok"/>
    <w:basedOn w:val="VerbatimChar"/>
    <w:rPr>
      <w:rFonts w:ascii="Courier New" w:hAnsi="Courier New"/>
      <w:i/>
      <w:color w:val="BA2121"/>
      <w:sz w:val="20"/>
    </w:rPr>
  </w:style>
  <w:style w:type="character" w:customStyle="1" w:styleId="AnnotationTok">
    <w:name w:val="AnnotationTok"/>
    <w:basedOn w:val="VerbatimChar"/>
    <w:rPr>
      <w:rFonts w:ascii="Courier New" w:hAnsi="Courier New"/>
      <w:b/>
      <w:i/>
      <w:color w:val="60A0B0"/>
      <w:sz w:val="20"/>
    </w:rPr>
  </w:style>
  <w:style w:type="character" w:customStyle="1" w:styleId="CommentVarTok">
    <w:name w:val="CommentVarTok"/>
    <w:basedOn w:val="VerbatimChar"/>
    <w:rPr>
      <w:rFonts w:ascii="Courier New" w:hAnsi="Courier New"/>
      <w:b/>
      <w:i/>
      <w:color w:val="60A0B0"/>
      <w:sz w:val="20"/>
    </w:rPr>
  </w:style>
  <w:style w:type="character" w:customStyle="1" w:styleId="OtherTok">
    <w:name w:val="OtherTok"/>
    <w:basedOn w:val="VerbatimChar"/>
    <w:rPr>
      <w:rFonts w:ascii="Courier New" w:hAnsi="Courier New"/>
      <w:color w:val="007020"/>
      <w:sz w:val="20"/>
    </w:rPr>
  </w:style>
  <w:style w:type="character" w:customStyle="1" w:styleId="FunctionTok">
    <w:name w:val="FunctionTok"/>
    <w:basedOn w:val="VerbatimChar"/>
    <w:rPr>
      <w:rFonts w:ascii="Courier New" w:hAnsi="Courier New"/>
      <w:color w:val="06287E"/>
      <w:sz w:val="20"/>
    </w:rPr>
  </w:style>
  <w:style w:type="character" w:customStyle="1" w:styleId="VariableTok">
    <w:name w:val="VariableTok"/>
    <w:basedOn w:val="VerbatimChar"/>
    <w:rPr>
      <w:rFonts w:ascii="Courier New" w:hAnsi="Courier New"/>
      <w:color w:val="19177C"/>
      <w:sz w:val="20"/>
    </w:rPr>
  </w:style>
  <w:style w:type="character" w:customStyle="1" w:styleId="ControlFlowTok">
    <w:name w:val="ControlFlowTok"/>
    <w:basedOn w:val="VerbatimChar"/>
    <w:rPr>
      <w:rFonts w:ascii="Courier New" w:hAnsi="Courier New"/>
      <w:b/>
      <w:color w:val="007020"/>
      <w:sz w:val="20"/>
    </w:rPr>
  </w:style>
  <w:style w:type="character" w:customStyle="1" w:styleId="OperatorTok">
    <w:name w:val="OperatorTok"/>
    <w:basedOn w:val="VerbatimChar"/>
    <w:rPr>
      <w:rFonts w:ascii="Courier New" w:hAnsi="Courier New"/>
      <w:color w:val="666666"/>
      <w:sz w:val="20"/>
    </w:rPr>
  </w:style>
  <w:style w:type="character" w:customStyle="1" w:styleId="BuiltInTok">
    <w:name w:val="BuiltInTok"/>
    <w:basedOn w:val="VerbatimChar"/>
    <w:rPr>
      <w:rFonts w:ascii="Courier New" w:hAnsi="Courier New"/>
      <w:color w:val="008000"/>
      <w:sz w:val="20"/>
    </w:rPr>
  </w:style>
  <w:style w:type="character" w:customStyle="1" w:styleId="ExtensionTok">
    <w:name w:val="ExtensionTok"/>
    <w:basedOn w:val="VerbatimChar"/>
    <w:rPr>
      <w:rFonts w:ascii="Courier New" w:hAnsi="Courier New"/>
      <w:sz w:val="20"/>
    </w:rPr>
  </w:style>
  <w:style w:type="character" w:customStyle="1" w:styleId="PreprocessorTok">
    <w:name w:val="PreprocessorTok"/>
    <w:basedOn w:val="VerbatimChar"/>
    <w:rPr>
      <w:rFonts w:ascii="Courier New" w:hAnsi="Courier New"/>
      <w:color w:val="BC7A00"/>
      <w:sz w:val="20"/>
    </w:rPr>
  </w:style>
  <w:style w:type="character" w:customStyle="1" w:styleId="AttributeTok">
    <w:name w:val="AttributeTok"/>
    <w:basedOn w:val="VerbatimChar"/>
    <w:rPr>
      <w:rFonts w:ascii="Courier New" w:hAnsi="Courier New"/>
      <w:color w:val="7D9029"/>
      <w:sz w:val="20"/>
    </w:rPr>
  </w:style>
  <w:style w:type="character" w:customStyle="1" w:styleId="RegionMarkerTok">
    <w:name w:val="RegionMarkerTok"/>
    <w:basedOn w:val="VerbatimChar"/>
    <w:rPr>
      <w:rFonts w:ascii="Courier New" w:hAnsi="Courier New"/>
      <w:sz w:val="20"/>
    </w:rPr>
  </w:style>
  <w:style w:type="character" w:customStyle="1" w:styleId="InformationTok">
    <w:name w:val="InformationTok"/>
    <w:basedOn w:val="VerbatimChar"/>
    <w:rPr>
      <w:rFonts w:ascii="Courier New" w:hAnsi="Courier New"/>
      <w:b/>
      <w:i/>
      <w:color w:val="60A0B0"/>
      <w:sz w:val="20"/>
    </w:rPr>
  </w:style>
  <w:style w:type="character" w:customStyle="1" w:styleId="WarningTok">
    <w:name w:val="WarningTok"/>
    <w:basedOn w:val="VerbatimChar"/>
    <w:rPr>
      <w:rFonts w:ascii="Courier New" w:hAnsi="Courier New"/>
      <w:b/>
      <w:i/>
      <w:color w:val="60A0B0"/>
      <w:sz w:val="20"/>
    </w:rPr>
  </w:style>
  <w:style w:type="character" w:customStyle="1" w:styleId="AlertTok">
    <w:name w:val="AlertTok"/>
    <w:basedOn w:val="VerbatimChar"/>
    <w:rPr>
      <w:rFonts w:ascii="Courier New" w:hAnsi="Courier New"/>
      <w:b/>
      <w:color w:val="FF0000"/>
      <w:sz w:val="20"/>
    </w:rPr>
  </w:style>
  <w:style w:type="character" w:customStyle="1" w:styleId="ErrorTok">
    <w:name w:val="ErrorTok"/>
    <w:basedOn w:val="VerbatimChar"/>
    <w:rPr>
      <w:rFonts w:ascii="Courier New" w:hAnsi="Courier New"/>
      <w:b/>
      <w:color w:val="FF0000"/>
      <w:sz w:val="20"/>
    </w:rPr>
  </w:style>
  <w:style w:type="character" w:customStyle="1" w:styleId="NormalTok">
    <w:name w:val="NormalTok"/>
    <w:basedOn w:val="VerbatimChar"/>
    <w:rPr>
      <w:rFonts w:ascii="Courier New" w:hAnsi="Courier New"/>
      <w:sz w:val="20"/>
    </w:rPr>
  </w:style>
  <w:style w:type="paragraph" w:styleId="TOC1">
    <w:name w:val="toc 1"/>
    <w:basedOn w:val="Normal"/>
    <w:next w:val="Normal"/>
    <w:autoRedefine/>
    <w:uiPriority w:val="39"/>
    <w:unhideWhenUsed/>
    <w:rsid w:val="00CE26CC"/>
    <w:pPr>
      <w:spacing w:after="100"/>
    </w:pPr>
  </w:style>
  <w:style w:type="paragraph" w:styleId="TOC2">
    <w:name w:val="toc 2"/>
    <w:basedOn w:val="Normal"/>
    <w:next w:val="Normal"/>
    <w:autoRedefine/>
    <w:uiPriority w:val="39"/>
    <w:unhideWhenUsed/>
    <w:rsid w:val="00CE26CC"/>
    <w:pPr>
      <w:spacing w:after="100"/>
      <w:ind w:left="220"/>
    </w:pPr>
  </w:style>
  <w:style w:type="paragraph" w:styleId="TOC3">
    <w:name w:val="toc 3"/>
    <w:basedOn w:val="Normal"/>
    <w:next w:val="Normal"/>
    <w:autoRedefine/>
    <w:uiPriority w:val="39"/>
    <w:unhideWhenUsed/>
    <w:rsid w:val="00CE26CC"/>
    <w:pPr>
      <w:spacing w:after="100"/>
      <w:ind w:left="440"/>
    </w:pPr>
  </w:style>
  <w:style w:type="character" w:styleId="Hyperlink">
    <w:name w:val="Hyperlink"/>
    <w:basedOn w:val="DefaultParagraphFont"/>
    <w:uiPriority w:val="99"/>
    <w:unhideWhenUsed/>
    <w:rsid w:val="00CE26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EF356-EBBA-444E-A51D-1C5167971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31</Pages>
  <Words>11164</Words>
  <Characters>63636</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dc:creator>
  <cp:keywords/>
  <cp:lastModifiedBy>PD Jose</cp:lastModifiedBy>
  <cp:revision>10</cp:revision>
  <cp:lastPrinted>2026-06-21T00:40:00Z</cp:lastPrinted>
  <dcterms:created xsi:type="dcterms:W3CDTF">2026-06-20T17:01:00Z</dcterms:created>
  <dcterms:modified xsi:type="dcterms:W3CDTF">2026-06-21T10:04:00Z</dcterms:modified>
</cp:coreProperties>
</file>