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p>
      <w:r>
        <w:br w:type="page"/>
      </w:r>
    </w:p>
    <w:p>
      <w:pPr>
        <w:pStyle w:val="Heading1"/>
      </w:pPr>
      <w:r>
        <w:rPr>
          <w:color w:val="10B981"/>
        </w:rPr>
        <w:t>Module Supplement: TCFD Climate Scenario Analysis</w:t>
      </w:r>
    </w:p>
    <w:p>
      <w:r>
        <w:t>The TCFD Scenario Analysis engine (SI-4) is a pure-function analytical tool that allows players to stress-test their portfolio against three NGFS-aligned climate pathways. It produces no state mutation — it is purely diagnostic. This section covers the pedagogical goals, facilitator controls, classroom integration, and debriefing strategies.</w:t>
      </w:r>
    </w:p>
    <w:p>
      <w:pPr>
        <w:pStyle w:val="Heading2"/>
      </w:pPr>
      <w:r>
        <w:rPr>
          <w:color w:val="10B981"/>
        </w:rPr>
        <w:t>Pedagogical Goals</w:t>
      </w:r>
    </w:p>
    <w:p>
      <w:r>
        <w:t>The TCFD module develops the following competencies:</w:t>
      </w:r>
    </w:p>
    <w:p>
      <w:pPr>
        <w:pStyle w:val="ListBullet"/>
      </w:pPr>
      <w:r>
        <w:t>Scenario Thinking: Students learn to assess strategy under deep uncertainty, moving beyond single-point forecasts.</w:t>
      </w:r>
    </w:p>
    <w:p>
      <w:pPr>
        <w:pStyle w:val="ListBullet"/>
      </w:pPr>
      <w:r>
        <w:t>Climate Risk Literacy: Distinguishing between transition risk (policy, technology, market) and physical risk (extreme weather, sea-level rise).</w:t>
      </w:r>
    </w:p>
    <w:p>
      <w:pPr>
        <w:pStyle w:val="ListBullet"/>
      </w:pPr>
      <w:r>
        <w:t>Stranded Asset Awareness: Understanding why fossil-linked assets lose value under ambitious climate policy.</w:t>
      </w:r>
    </w:p>
    <w:p>
      <w:pPr>
        <w:pStyle w:val="ListBullet"/>
      </w:pPr>
      <w:r>
        <w:t>TCFD / TNFD Disclosure: Practical exposure to the disclosure frameworks increasingly mandated by regulators.</w:t>
      </w:r>
    </w:p>
    <w:p>
      <w:pPr>
        <w:pStyle w:val="ListBullet"/>
      </w:pPr>
      <w:r>
        <w:t>Strategic Resilience: Identifying strategies that are robust across multiple scenarios rather than optimal for just one.</w:t>
      </w:r>
    </w:p>
    <w:p>
      <w:pPr>
        <w:pStyle w:val="Heading2"/>
      </w:pPr>
      <w:r>
        <w:rPr>
          <w:color w:val="10B981"/>
        </w:rPr>
        <w:t>The Three Climate Scenarios</w:t>
      </w:r>
    </w:p>
    <w:p>
      <w:r>
        <w:t>The engine models three NGFS-aligned pathways. Each scenario has distinct carbon price trajectories, physical risk multipliers, demand shifts by sector, and stranded asset exposures: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Scenario</w:t>
            </w:r>
          </w:p>
        </w:tc>
        <w:tc>
          <w:tcPr>
            <w:tcW w:type="dxa" w:w="1568"/>
          </w:tcPr>
          <w:p>
            <w:r>
              <w:rPr>
                <w:b/>
                <w:sz w:val="18"/>
              </w:rPr>
              <w:t>Temp. Path</w:t>
            </w:r>
          </w:p>
        </w:tc>
        <w:tc>
          <w:tcPr>
            <w:tcW w:type="dxa" w:w="1568"/>
          </w:tcPr>
          <w:p>
            <w:r>
              <w:rPr>
                <w:b/>
                <w:sz w:val="18"/>
              </w:rPr>
              <w:t>NGFS Category</w:t>
            </w:r>
          </w:p>
        </w:tc>
        <w:tc>
          <w:tcPr>
            <w:tcW w:type="dxa" w:w="1568"/>
          </w:tcPr>
          <w:p>
            <w:r>
              <w:rPr>
                <w:b/>
                <w:sz w:val="18"/>
              </w:rPr>
              <w:t>Carbon Price Trajectory</w:t>
            </w:r>
          </w:p>
        </w:tc>
        <w:tc>
          <w:tcPr>
            <w:tcW w:type="dxa" w:w="1568"/>
          </w:tcPr>
          <w:p>
            <w:r>
              <w:rPr>
                <w:b/>
                <w:sz w:val="18"/>
              </w:rPr>
              <w:t>Key Risk</w:t>
            </w:r>
          </w:p>
        </w:tc>
        <w:tc>
          <w:tcPr>
            <w:tcW w:type="dxa" w:w="1568"/>
          </w:tcPr>
          <w:p>
            <w:r>
              <w:rPr>
                <w:b/>
                <w:sz w:val="18"/>
              </w:rPr>
              <w:t>Strategic Implication</w:t>
            </w:r>
          </w:p>
        </w:tc>
      </w:tr>
      <w:tr>
        <w:tc>
          <w:tcPr>
            <w:tcW w:type="dxa" w:w="1568"/>
          </w:tcPr>
          <w:p>
            <w:r>
              <w:rPr>
                <w:b/>
                <w:sz w:val="18"/>
              </w:rPr>
              <w:t>Net Zero 2050</w:t>
            </w:r>
          </w:p>
        </w:tc>
        <w:tc>
          <w:tcPr>
            <w:tcW w:type="dxa" w:w="1568"/>
          </w:tcPr>
          <w:p>
            <w:r>
              <w:rPr>
                <w:sz w:val="18"/>
              </w:rPr>
              <w:t>1.5°C</w:t>
            </w:r>
          </w:p>
        </w:tc>
        <w:tc>
          <w:tcPr>
            <w:tcW w:type="dxa" w:w="1568"/>
          </w:tcPr>
          <w:p>
            <w:r>
              <w:rPr>
                <w:sz w:val="18"/>
              </w:rPr>
              <w:t>Orderly</w:t>
            </w:r>
          </w:p>
        </w:tc>
        <w:tc>
          <w:tcPr>
            <w:tcW w:type="dxa" w:w="1568"/>
          </w:tcPr>
          <w:p>
            <w:r>
              <w:rPr>
                <w:sz w:val="18"/>
              </w:rPr>
              <w:t>$50 → $250/tCO₂</w:t>
            </w:r>
          </w:p>
        </w:tc>
        <w:tc>
          <w:tcPr>
            <w:tcW w:type="dxa" w:w="1568"/>
          </w:tcPr>
          <w:p>
            <w:r>
              <w:rPr>
                <w:sz w:val="18"/>
              </w:rPr>
              <w:t>HIGH transition risk, LOW physical risk</w:t>
            </w:r>
          </w:p>
        </w:tc>
        <w:tc>
          <w:tcPr>
            <w:tcW w:type="dxa" w:w="1568"/>
          </w:tcPr>
          <w:p>
            <w:r>
              <w:rPr>
                <w:sz w:val="18"/>
              </w:rPr>
              <w:t>Front-load decarbonisation CapEx; green tech premium turns negative</w:t>
            </w:r>
          </w:p>
        </w:tc>
      </w:tr>
      <w:tr>
        <w:tc>
          <w:tcPr>
            <w:tcW w:type="dxa" w:w="1568"/>
          </w:tcPr>
          <w:p>
            <w:r>
              <w:rPr>
                <w:b/>
                <w:sz w:val="18"/>
              </w:rPr>
              <w:t>Delayed Transition</w:t>
            </w:r>
          </w:p>
        </w:tc>
        <w:tc>
          <w:tcPr>
            <w:tcW w:type="dxa" w:w="1568"/>
          </w:tcPr>
          <w:p>
            <w:r>
              <w:rPr>
                <w:sz w:val="18"/>
              </w:rPr>
              <w:t>2°C</w:t>
            </w:r>
          </w:p>
        </w:tc>
        <w:tc>
          <w:tcPr>
            <w:tcW w:type="dxa" w:w="1568"/>
          </w:tcPr>
          <w:p>
            <w:r>
              <w:rPr>
                <w:sz w:val="18"/>
              </w:rPr>
              <w:t>Disorderly</w:t>
            </w:r>
          </w:p>
        </w:tc>
        <w:tc>
          <w:tcPr>
            <w:tcW w:type="dxa" w:w="1568"/>
          </w:tcPr>
          <w:p>
            <w:r>
              <w:rPr>
                <w:sz w:val="18"/>
              </w:rPr>
              <w:t>$30 → $350/tCO₂ (shock)</w:t>
            </w:r>
          </w:p>
        </w:tc>
        <w:tc>
          <w:tcPr>
            <w:tcW w:type="dxa" w:w="1568"/>
          </w:tcPr>
          <w:p>
            <w:r>
              <w:rPr>
                <w:sz w:val="18"/>
              </w:rPr>
              <w:t>BOTH transition AND physical risks elevated</w:t>
            </w:r>
          </w:p>
        </w:tc>
        <w:tc>
          <w:tcPr>
            <w:tcW w:type="dxa" w:w="1568"/>
          </w:tcPr>
          <w:p>
            <w:r>
              <w:rPr>
                <w:sz w:val="18"/>
              </w:rPr>
              <w:t>Build financial buffers; prepare for carbon price shock</w:t>
            </w:r>
          </w:p>
        </w:tc>
      </w:tr>
      <w:tr>
        <w:tc>
          <w:tcPr>
            <w:tcW w:type="dxa" w:w="1568"/>
          </w:tcPr>
          <w:p>
            <w:r>
              <w:rPr>
                <w:b/>
                <w:sz w:val="18"/>
              </w:rPr>
              <w:t>Current Policies</w:t>
            </w:r>
          </w:p>
        </w:tc>
        <w:tc>
          <w:tcPr>
            <w:tcW w:type="dxa" w:w="1568"/>
          </w:tcPr>
          <w:p>
            <w:r>
              <w:rPr>
                <w:sz w:val="18"/>
              </w:rPr>
              <w:t>4°C</w:t>
            </w:r>
          </w:p>
        </w:tc>
        <w:tc>
          <w:tcPr>
            <w:tcW w:type="dxa" w:w="1568"/>
          </w:tcPr>
          <w:p>
            <w:r>
              <w:rPr>
                <w:sz w:val="18"/>
              </w:rPr>
              <w:t>Hot house world</w:t>
            </w:r>
          </w:p>
        </w:tc>
        <w:tc>
          <w:tcPr>
            <w:tcW w:type="dxa" w:w="1568"/>
          </w:tcPr>
          <w:p>
            <w:r>
              <w:rPr>
                <w:sz w:val="18"/>
              </w:rPr>
              <w:t>$20 → $40/tCO₂</w:t>
            </w:r>
          </w:p>
        </w:tc>
        <w:tc>
          <w:tcPr>
            <w:tcW w:type="dxa" w:w="1568"/>
          </w:tcPr>
          <w:p>
            <w:r>
              <w:rPr>
                <w:sz w:val="18"/>
              </w:rPr>
              <w:t>CATASTROPHIC physical risk, low transition risk</w:t>
            </w:r>
          </w:p>
        </w:tc>
        <w:tc>
          <w:tcPr>
            <w:tcW w:type="dxa" w:w="1568"/>
          </w:tcPr>
          <w:p>
            <w:r>
              <w:rPr>
                <w:sz w:val="18"/>
              </w:rPr>
              <w:t>Supply chain resilience; healthcare demand surge opportunity</w:t>
            </w:r>
          </w:p>
        </w:tc>
      </w:tr>
    </w:tbl>
    <w:p>
      <w:pPr>
        <w:pStyle w:val="Heading2"/>
      </w:pPr>
      <w:r>
        <w:rPr>
          <w:color w:val="10B981"/>
        </w:rPr>
        <w:t>Dashboard Access &amp; Controls</w:t>
      </w:r>
    </w:p>
    <w:p>
      <w:r>
        <w:rPr>
          <w:b/>
        </w:rPr>
        <w:t xml:space="preserve">Player Access: </w:t>
      </w:r>
      <w:r>
        <w:rPr>
          <w:i w:val="0"/>
        </w:rPr>
        <w:t>The TCFD dashboard is accessible via the 🌡️ Climate tab in the right panel of the player cockpit. It fetches data from the backend API endpoint GET /api/simulations/{session_id}/tcfd-scenarios.</w:t>
      </w:r>
    </w:p>
    <w:p>
      <w:r>
        <w:rPr>
          <w:b/>
        </w:rPr>
        <w:t xml:space="preserve">God Mode Toggle: </w:t>
      </w:r>
      <w:r>
        <w:rPr>
          <w:i w:val="0"/>
        </w:rPr>
        <w:t>TCFD can be toggled on/off per cohort via the God Mode toggle 'tcfd_scenarios_enabled' (default: ON). It can also be set during cohort creation in the CreateCohortModal.</w:t>
      </w:r>
    </w:p>
    <w:p>
      <w:r>
        <w:rPr>
          <w:b/>
        </w:rPr>
        <w:t xml:space="preserve">Dynamic Data: </w:t>
      </w:r>
      <w:r>
        <w:rPr>
          <w:i w:val="0"/>
        </w:rPr>
        <w:t>The analysis uses the player's current portfolio state — carbon intensity, revenue base, social license, reputation, and workforce readiness — to generate forward projections. As players decarbonise and invest strategically, their scenario outputs improve dynamically.</w:t>
      </w:r>
    </w:p>
    <w:p>
      <w:pPr>
        <w:pStyle w:val="Heading2"/>
      </w:pPr>
      <w:r>
        <w:rPr>
          <w:color w:val="10B981"/>
        </w:rPr>
        <w:t>Metrics Calculated per Scenario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Calculation</w:t>
            </w:r>
          </w:p>
        </w:tc>
        <w:tc>
          <w:tcPr>
            <w:tcW w:type="dxa" w:w="3135"/>
          </w:tcPr>
          <w:p>
            <w:r>
              <w:rPr>
                <w:b/>
                <w:sz w:val="18"/>
              </w:rPr>
              <w:t>Teaching Use</w:t>
            </w:r>
          </w:p>
        </w:tc>
      </w:tr>
      <w:tr>
        <w:tc>
          <w:tcPr>
            <w:tcW w:type="dxa" w:w="3135"/>
          </w:tcPr>
          <w:p>
            <w:r>
              <w:rPr>
                <w:b/>
                <w:sz w:val="18"/>
              </w:rPr>
              <w:t>Revenue Impact (%)</w:t>
            </w:r>
          </w:p>
        </w:tc>
        <w:tc>
          <w:tcPr>
            <w:tcW w:type="dxa" w:w="3135"/>
          </w:tcPr>
          <w:p>
            <w:r>
              <w:rPr>
                <w:sz w:val="18"/>
              </w:rPr>
              <w:t>BU revenue × demand_shift^(horizon/5)</w:t>
            </w:r>
          </w:p>
        </w:tc>
        <w:tc>
          <w:tcPr>
            <w:tcW w:type="dxa" w:w="3135"/>
          </w:tcPr>
          <w:p>
            <w:r>
              <w:rPr>
                <w:sz w:val="18"/>
              </w:rPr>
              <w:t>Illustrates sector-specific vulnerability to climate transitions</w:t>
            </w:r>
          </w:p>
        </w:tc>
      </w:tr>
      <w:tr>
        <w:tc>
          <w:tcPr>
            <w:tcW w:type="dxa" w:w="3135"/>
          </w:tcPr>
          <w:p>
            <w:r>
              <w:rPr>
                <w:b/>
                <w:sz w:val="18"/>
              </w:rPr>
              <w:t>Annual Carbon Cost</w:t>
            </w:r>
          </w:p>
        </w:tc>
        <w:tc>
          <w:tcPr>
            <w:tcW w:type="dxa" w:w="3135"/>
          </w:tcPr>
          <w:p>
            <w:r>
              <w:rPr>
                <w:sz w:val="18"/>
              </w:rPr>
              <w:t>avg_CI × BU_count × 1000 × carbon_price</w:t>
            </w:r>
          </w:p>
        </w:tc>
        <w:tc>
          <w:tcPr>
            <w:tcW w:type="dxa" w:w="3135"/>
          </w:tcPr>
          <w:p>
            <w:r>
              <w:rPr>
                <w:sz w:val="18"/>
              </w:rPr>
              <w:t>Shows the financial materiality of carbon intensity</w:t>
            </w:r>
          </w:p>
        </w:tc>
      </w:tr>
      <w:tr>
        <w:tc>
          <w:tcPr>
            <w:tcW w:type="dxa" w:w="3135"/>
          </w:tcPr>
          <w:p>
            <w:r>
              <w:rPr>
                <w:b/>
                <w:sz w:val="18"/>
              </w:rPr>
              <w:t>Physical Risk</w:t>
            </w:r>
          </w:p>
        </w:tc>
        <w:tc>
          <w:tcPr>
            <w:tcW w:type="dxa" w:w="3135"/>
          </w:tcPr>
          <w:p>
            <w:r>
              <w:rPr>
                <w:sz w:val="18"/>
              </w:rPr>
              <w:t>Treasury × 2% × phys_multiplier × (1 - resilience)</w:t>
            </w:r>
          </w:p>
        </w:tc>
        <w:tc>
          <w:tcPr>
            <w:tcW w:type="dxa" w:w="3135"/>
          </w:tcPr>
          <w:p>
            <w:r>
              <w:rPr>
                <w:sz w:val="18"/>
              </w:rPr>
              <w:t>Quantifies the protective value of resilience investments</w:t>
            </w:r>
          </w:p>
        </w:tc>
      </w:tr>
      <w:tr>
        <w:tc>
          <w:tcPr>
            <w:tcW w:type="dxa" w:w="3135"/>
          </w:tcPr>
          <w:p>
            <w:r>
              <w:rPr>
                <w:b/>
                <w:sz w:val="18"/>
              </w:rPr>
              <w:t>Stranded Assets</w:t>
            </w:r>
          </w:p>
        </w:tc>
        <w:tc>
          <w:tcPr>
            <w:tcW w:type="dxa" w:w="3135"/>
          </w:tcPr>
          <w:p>
            <w:r>
              <w:rPr>
                <w:sz w:val="18"/>
              </w:rPr>
              <w:t>Total PPE × stranded_pct × 80% write-down</w:t>
            </w:r>
          </w:p>
        </w:tc>
        <w:tc>
          <w:tcPr>
            <w:tcW w:type="dxa" w:w="3135"/>
          </w:tcPr>
          <w:p>
            <w:r>
              <w:rPr>
                <w:sz w:val="18"/>
              </w:rPr>
              <w:t>Teaches the concept of fossil-asset obsolescence</w:t>
            </w:r>
          </w:p>
        </w:tc>
      </w:tr>
      <w:tr>
        <w:tc>
          <w:tcPr>
            <w:tcW w:type="dxa" w:w="3135"/>
          </w:tcPr>
          <w:p>
            <w:r>
              <w:rPr>
                <w:b/>
                <w:sz w:val="18"/>
              </w:rPr>
              <w:t>Opportunity Score</w:t>
            </w:r>
          </w:p>
        </w:tc>
        <w:tc>
          <w:tcPr>
            <w:tcW w:type="dxa" w:w="3135"/>
          </w:tcPr>
          <w:p>
            <w:r>
              <w:rPr>
                <w:sz w:val="18"/>
              </w:rPr>
              <w:t>(Rep×0.3 + SLO×0.3 + WFR×0.2 + (100-CI)×0.2) × 100</w:t>
            </w:r>
          </w:p>
        </w:tc>
        <w:tc>
          <w:tcPr>
            <w:tcW w:type="dxa" w:w="3135"/>
          </w:tcPr>
          <w:p>
            <w:r>
              <w:rPr>
                <w:sz w:val="18"/>
              </w:rPr>
              <w:t>Multi-dimensional readiness assessment</w:t>
            </w:r>
          </w:p>
        </w:tc>
      </w:tr>
      <w:tr>
        <w:tc>
          <w:tcPr>
            <w:tcW w:type="dxa" w:w="3135"/>
          </w:tcPr>
          <w:p>
            <w:r>
              <w:rPr>
                <w:b/>
                <w:sz w:val="18"/>
              </w:rPr>
              <w:t>Nature Risk (TNFD)</w:t>
            </w:r>
          </w:p>
        </w:tc>
        <w:tc>
          <w:tcPr>
            <w:tcW w:type="dxa" w:w="3135"/>
          </w:tcPr>
          <w:p>
            <w:r>
              <w:rPr>
                <w:sz w:val="18"/>
              </w:rPr>
              <w:t>(100 - EHI)/100 × bio_dependency × phys_mult × 100</w:t>
            </w:r>
          </w:p>
        </w:tc>
        <w:tc>
          <w:tcPr>
            <w:tcW w:type="dxa" w:w="3135"/>
          </w:tcPr>
          <w:p>
            <w:r>
              <w:rPr>
                <w:sz w:val="18"/>
              </w:rPr>
              <w:t>Connects biodiversity loss to financial risk</w:t>
            </w:r>
          </w:p>
        </w:tc>
      </w:tr>
    </w:tbl>
    <w:p>
      <w:pPr>
        <w:pStyle w:val="Heading2"/>
      </w:pPr>
      <w:r>
        <w:rPr>
          <w:color w:val="10B981"/>
        </w:rPr>
        <w:t>Classroom Integration Strategies</w:t>
      </w:r>
    </w:p>
    <w:p>
      <w:pPr>
        <w:pStyle w:val="Heading3"/>
      </w:pPr>
      <w:r>
        <w:rPr>
          <w:color w:val="10B981"/>
        </w:rPr>
        <w:t>Round 2 (Post-Materiality)</w:t>
      </w:r>
    </w:p>
    <w:p>
      <w:r>
        <w:t>After students complete the materiality matrix, introduce the TCFD Climate tab. Prompt: 'You've identified your material ESG issues. Now, how would a 1.5°C vs. 4°C world change which issues are most material?' This bridges the Double Materiality concept with forward-looking scenario analysis.</w:t>
      </w:r>
    </w:p>
    <w:p>
      <w:pPr>
        <w:pStyle w:val="Heading3"/>
      </w:pPr>
      <w:r>
        <w:rPr>
          <w:color w:val="10B981"/>
        </w:rPr>
        <w:t>Round 5 (Mid-Game Checkpoint)</w:t>
      </w:r>
    </w:p>
    <w:p>
      <w:r>
        <w:t>During the mid-game checkpoint, have teams compare their TCFD dashboard data. Use the Compare mode to project all three scenarios side by side. Discussion prompt: 'Which team has the most resilient portfolio — one that performs acceptably across ALL three scenarios?' This teaches the TCFD principle of strategic resilience under uncertainty.</w:t>
      </w:r>
    </w:p>
    <w:p>
      <w:pPr>
        <w:pStyle w:val="Heading3"/>
      </w:pPr>
      <w:r>
        <w:rPr>
          <w:color w:val="10B981"/>
        </w:rPr>
        <w:t>Round 8–9 (Pre-Endgame)</w:t>
      </w:r>
    </w:p>
    <w:p>
      <w:r>
        <w:t>As teams approach the grand finale, prompt them to revisit their TCFD scenarios to evaluate whether their mid-game strategic pivots have improved or degraded their climate resilience. Prompt: 'Has your carbon intensity decreased enough to survive the Disorderly 2°C carbon price shock?' Link to Stranded Asset theory (Carbon Tracker Initiative).</w:t>
      </w:r>
    </w:p>
    <w:p>
      <w:pPr>
        <w:pStyle w:val="Heading3"/>
      </w:pPr>
      <w:r>
        <w:rPr>
          <w:color w:val="10B981"/>
        </w:rPr>
        <w:t>Post-Game Debrief</w:t>
      </w:r>
    </w:p>
    <w:p>
      <w:r>
        <w:t>Include TCFD scenario data in the debrief report. Compare teams' final Overall Risk Rating across scenarios. Teams with high Opportunity Scores (&gt;70) demonstrate genuine understanding of climate-resilient strategy. Use the nature risk overlay to discuss TNFD and the emerging 'double materiality' of nature and climate disclosure frameworks.</w:t>
      </w:r>
    </w:p>
    <w:p>
      <w:pPr>
        <w:pStyle w:val="Heading2"/>
      </w:pPr>
      <w:r>
        <w:rPr>
          <w:color w:val="10B981"/>
        </w:rPr>
        <w:t>Facilitator Talking Points</w:t>
      </w:r>
    </w:p>
    <w:p>
      <w:r>
        <w:rPr>
          <w:b/>
        </w:rPr>
        <w:t xml:space="preserve">On Carbon Pricing: </w:t>
      </w:r>
      <w:r>
        <w:t>'In the real world, the EU Emissions Trading System already prices carbon at €90-100/tCO₂. The Orderly 1.5°C scenario projects $250/tCO₂ by 2050. What does this mean for your most carbon-intensive business unit?'</w:t>
      </w:r>
    </w:p>
    <w:p>
      <w:r>
        <w:rPr>
          <w:b/>
        </w:rPr>
        <w:t xml:space="preserve">On Stranded Assets: </w:t>
      </w:r>
      <w:r>
        <w:t>'Carbon Tracker estimates that $900 billion of fossil-fuel assets are at risk of stranding. In your simulation, how much of your PPE is exposed? What does the 35% stranded figure under 1.5°C mean for your balance sheet?'</w:t>
      </w:r>
    </w:p>
    <w:p>
      <w:r>
        <w:rPr>
          <w:b/>
        </w:rPr>
        <w:t xml:space="preserve">On Physical Risk: </w:t>
      </w:r>
      <w:r>
        <w:t>'The 4°C Hothouse scenario applies a 4× physical risk multiplier. Munich Re reported $120bn in natural catastrophe losses in 2022. How much does your treasury lose annually under this scenario?'</w:t>
      </w:r>
    </w:p>
    <w:p>
      <w:r>
        <w:rPr>
          <w:b/>
        </w:rPr>
        <w:t xml:space="preserve">On TCFD Compliance: </w:t>
      </w:r>
      <w:r>
        <w:t>'TCFD is now mandatory in the UK, EU (via CSRD), Japan, Singapore, and New Zealand. How does your scenario analysis demonstrate compliance? What would investors say about your Opportunity Score?'</w:t>
      </w:r>
    </w:p>
    <w:p>
      <w:r>
        <w:rPr>
          <w:b/>
        </w:rPr>
        <w:t xml:space="preserve">On the TNFD Extension: </w:t>
      </w:r>
      <w:r>
        <w:t>'The Taskforce on Nature-related Financial Disclosures builds on TCFD by adding biodiversity dependency. Does your Ecosystem Health Index create additional exposure beyond climate?'</w:t>
      </w:r>
    </w:p>
    <w:p>
      <w:pPr>
        <w:pStyle w:val="Heading2"/>
      </w:pPr>
      <w:r>
        <w:rPr>
          <w:color w:val="10B981"/>
        </w:rPr>
        <w:t>Technical Reference</w:t>
      </w:r>
    </w:p>
    <w:p>
      <w:r>
        <w:rPr>
          <w:b/>
        </w:rPr>
        <w:t xml:space="preserve">API Endpoint: </w:t>
      </w:r>
      <w:r>
        <w:rPr>
          <w:i w:val="0"/>
        </w:rPr>
        <w:t>GET /api/simulations/{session_id}/tcfd-scenarios — Returns all 3 scenarios with comparison matrix. Optional query param: ?scenario_id=orderly_1_5 for single scenario.</w:t>
      </w:r>
    </w:p>
    <w:p>
      <w:r>
        <w:rPr>
          <w:b/>
        </w:rPr>
        <w:t xml:space="preserve">Backend Module: </w:t>
      </w:r>
      <w:r>
        <w:rPr>
          <w:i w:val="0"/>
        </w:rPr>
        <w:t>tcfd_scenarios.py → run_scenario_analysis() and get_scenario_comparison(). Pure-function module with no state mutation.</w:t>
      </w:r>
    </w:p>
    <w:p>
      <w:r>
        <w:rPr>
          <w:b/>
        </w:rPr>
        <w:t xml:space="preserve">Frontend Component: </w:t>
      </w:r>
      <w:r>
        <w:rPr>
          <w:i w:val="0"/>
        </w:rPr>
        <w:t>TCFDScenarioDashboard.js — self-contained React component rendered in the right panel Climate tab. Features single-scenario and compare modes with animated arc gauges, BU revenue projection bars, and strategic implications.</w:t>
      </w:r>
    </w:p>
    <w:p>
      <w:r>
        <w:br w:type="page"/>
      </w:r>
    </w:p>
    <w:p>
      <w:pPr>
        <w:pStyle w:val="Heading1"/>
      </w:pPr>
      <w:r>
        <w:t>Facilitator Reference: ESG Impact Constellation</w:t>
      </w:r>
    </w:p>
    <w:p>
      <w:r>
        <w:t>The ESG Impact Constellation is a real-time 3D causal network rendered using React Three Fiber (WebGL). It transforms the simulation's round-by-round state history into an interactive knowledge artefact that supports post-game sense-making and debrief facilitation.</w:t>
      </w:r>
    </w:p>
    <w:p>
      <w:pPr>
        <w:pStyle w:val="Heading2"/>
      </w:pPr>
      <w:r>
        <w:t>Pedagogical Purpose</w:t>
      </w:r>
    </w:p>
    <w:p>
      <w:r>
        <w:t>The Constellation operationalises three core learning objectives:</w:t>
      </w:r>
    </w:p>
    <w:p>
      <w:pPr>
        <w:pStyle w:val="ListBullet"/>
      </w:pPr>
      <w:r>
        <w:t>Systems Thinking — Players must trace how one decision at Round 1 structurally constrains or enables decisions at Round 10. The hardcoded cross-causal (amber dashed) links make these invisible system relationships visible.</w:t>
      </w:r>
    </w:p>
    <w:p>
      <w:pPr>
        <w:pStyle w:val="ListBullet"/>
      </w:pPr>
      <w:r>
        <w:t>Consequence Awareness — The node size formula (|Treasury Δ| ÷ $5M) creates a direct embodied representation of financial consequence magnitude. Groups who see one massive sphere surrounded by tiny ones immediately understand which decision dominated their financial narrative.</w:t>
      </w:r>
    </w:p>
    <w:p>
      <w:pPr>
        <w:pStyle w:val="ListBullet"/>
      </w:pPr>
      <w:r>
        <w:t>ESG Integration vs. Silo Thinking — The dimension colour system combined with the filter bar allows facilitators to demonstrate graphically whether a team treated Environmental, Social, and Governance as separate concerns or as an integrated whole.</w:t>
      </w:r>
    </w:p>
    <w:p>
      <w:pPr>
        <w:pStyle w:val="Heading2"/>
      </w:pPr>
      <w:r>
        <w:t>Technical Architecture</w:t>
      </w:r>
    </w:p>
    <w:p>
      <w:r>
        <w:t>The component (ESGImpactConstellation.js) receives the full session history array from the backend on mount. Each round's node is constructed via the buildConstellationData() function which reads three state deltas per round:</w:t>
      </w:r>
    </w:p>
    <w:p>
      <w:pPr>
        <w:pStyle w:val="ListBullet"/>
      </w:pPr>
      <w:r>
        <w:t>corporate_treasury — Drives node size (magnitude of financial impact)</w:t>
      </w:r>
    </w:p>
    <w:p>
      <w:pPr>
        <w:pStyle w:val="ListBullet"/>
      </w:pPr>
      <w:r>
        <w:t>group_reputation — Drives sequential link thickness and nebula colour</w:t>
      </w:r>
    </w:p>
    <w:p>
      <w:pPr>
        <w:pStyle w:val="ListBullet"/>
      </w:pPr>
      <w:r>
        <w:t>tco2e_emissions — Drives the Carbon Δ tooltip metric (green = reduction)</w:t>
      </w:r>
    </w:p>
    <w:p>
      <w:r>
        <w:t>Nodes are positioned in 3D space using a spiral layout formula (angle derived from round number × 2.5π, radius expanding linearly) so that later rounds always occupy the outer arc of the constellation — making chronological progression spatially intuitive.</w:t>
      </w:r>
    </w:p>
    <w:p>
      <w:pPr>
        <w:pStyle w:val="Heading2"/>
      </w:pPr>
      <w:r>
        <w:t>Dimension Assignment Logic</w:t>
      </w:r>
    </w:p>
    <w:p>
      <w:r>
        <w:t>Each round is pre-assigned to an ESG dimension based on its primary pedagogical content:</w:t>
      </w:r>
    </w:p>
    <w:tbl>
      <w:tblPr>
        <w:tblStyle w:val="TableGrid"/>
        <w:tblW w:type="auto" w:w="0"/>
        <w:tblLook w:firstColumn="1" w:firstRow="1" w:lastColumn="0" w:lastRow="0" w:noHBand="0" w:noVBand="1" w:val="04A0"/>
      </w:tblPr>
      <w:tblGrid>
        <w:gridCol w:w="3135"/>
        <w:gridCol w:w="3135"/>
        <w:gridCol w:w="3135"/>
      </w:tblGrid>
      <w:tr>
        <w:tc>
          <w:tcPr>
            <w:tcW w:type="dxa" w:w="3135"/>
          </w:tcPr>
          <w:p>
            <w:r>
              <w:t>Dimension</w:t>
            </w:r>
          </w:p>
        </w:tc>
        <w:tc>
          <w:tcPr>
            <w:tcW w:type="dxa" w:w="3135"/>
          </w:tcPr>
          <w:p>
            <w:r>
              <w:t>Rounds</w:t>
            </w:r>
          </w:p>
        </w:tc>
        <w:tc>
          <w:tcPr>
            <w:tcW w:type="dxa" w:w="3135"/>
          </w:tcPr>
          <w:p>
            <w:r>
              <w:t>Rationale</w:t>
            </w:r>
          </w:p>
        </w:tc>
      </w:tr>
      <w:tr>
        <w:tc>
          <w:tcPr>
            <w:tcW w:type="dxa" w:w="3135"/>
          </w:tcPr>
          <w:p>
            <w:r>
              <w:t>Environmental (#10b981)</w:t>
            </w:r>
          </w:p>
        </w:tc>
        <w:tc>
          <w:tcPr>
            <w:tcW w:type="dxa" w:w="3135"/>
          </w:tcPr>
          <w:p>
            <w:r>
              <w:t>R1, R3, R5, R7, R8</w:t>
            </w:r>
          </w:p>
        </w:tc>
        <w:tc>
          <w:tcPr>
            <w:tcW w:type="dxa" w:w="3135"/>
          </w:tcPr>
          <w:p>
            <w:r>
              <w:t>Rounds where physical planet boundaries (emissions, water, supply chain carbon, circular flows, climate scenarios) are the primary decision frame.</w:t>
            </w:r>
          </w:p>
        </w:tc>
      </w:tr>
      <w:tr>
        <w:tc>
          <w:tcPr>
            <w:tcW w:type="dxa" w:w="3135"/>
          </w:tcPr>
          <w:p>
            <w:r>
              <w:t>Social (#3b82f6)</w:t>
            </w:r>
          </w:p>
        </w:tc>
        <w:tc>
          <w:tcPr>
            <w:tcW w:type="dxa" w:w="3135"/>
          </w:tcPr>
          <w:p>
            <w:r>
              <w:t>R4, R9</w:t>
            </w:r>
          </w:p>
        </w:tc>
        <w:tc>
          <w:tcPr>
            <w:tcW w:type="dxa" w:w="3135"/>
          </w:tcPr>
          <w:p>
            <w:r>
              <w:t>Rounds where community impact, worker welfare, and social licence-to-operate are the dominant ESG stress.</w:t>
            </w:r>
          </w:p>
        </w:tc>
      </w:tr>
      <w:tr>
        <w:tc>
          <w:tcPr>
            <w:tcW w:type="dxa" w:w="3135"/>
          </w:tcPr>
          <w:p>
            <w:r>
              <w:t>Governance (#8b5cf6)</w:t>
            </w:r>
          </w:p>
        </w:tc>
        <w:tc>
          <w:tcPr>
            <w:tcW w:type="dxa" w:w="3135"/>
          </w:tcPr>
          <w:p>
            <w:r>
              <w:t>R2, R6</w:t>
            </w:r>
          </w:p>
        </w:tc>
        <w:tc>
          <w:tcPr>
            <w:tcW w:type="dxa" w:w="3135"/>
          </w:tcPr>
          <w:p>
            <w:r>
              <w:t>Rounds anchored in reporting integrity (Double Materiality) and algorithmic accountability (AI Ethics).</w:t>
            </w:r>
          </w:p>
        </w:tc>
      </w:tr>
      <w:tr>
        <w:tc>
          <w:tcPr>
            <w:tcW w:type="dxa" w:w="3135"/>
          </w:tcPr>
          <w:p>
            <w:r>
              <w:t>Mixed (#5eead4)</w:t>
            </w:r>
          </w:p>
        </w:tc>
        <w:tc>
          <w:tcPr>
            <w:tcW w:type="dxa" w:w="3135"/>
          </w:tcPr>
          <w:p>
            <w:r>
              <w:t>R10</w:t>
            </w:r>
          </w:p>
        </w:tc>
        <w:tc>
          <w:tcPr>
            <w:tcW w:type="dxa" w:w="3135"/>
          </w:tcPr>
          <w:p>
            <w:r>
              <w:t>The Activist Ultimatum finale tests all three dimensions simultaneously, reflecting the real-world convergence of ESG pressure at corporate climax events.</w:t>
            </w:r>
          </w:p>
        </w:tc>
      </w:tr>
    </w:tbl>
    <w:p/>
    <w:p>
      <w:pPr>
        <w:pStyle w:val="Heading2"/>
      </w:pPr>
      <w:r>
        <w:t>Hardcoded Cross-Causal Links — Facilitation Notes</w:t>
      </w:r>
    </w:p>
    <w:p>
      <w:r>
        <w:t>Three systemic causal links are encoded directly in the component. These are not stochastic — they always appear if the relevant rounds exist in history. Use them as discussion anchors:</w:t>
      </w:r>
    </w:p>
    <w:p>
      <w:pPr>
        <w:pStyle w:val="ListBullet"/>
      </w:pPr>
      <w:r>
        <w:t>R3 → R5 (Scope 3 → Climate Risk, strength 0.6): Prompt: 'Look at this dashed amber line. Your Scope 3 decisions in Round 3 directly shaped the climate risk exposure you faced in Round 5. Teams who contracted low-carbon suppliers in R3 typically see a 15–22% smaller R5 penalty. How does your R5 node compare?'</w:t>
      </w:r>
    </w:p>
    <w:p>
      <w:pPr>
        <w:pStyle w:val="ListBullet"/>
      </w:pPr>
      <w:r>
        <w:t>R4 → R7 (ESG Contagion → Circular Economy, strength 0.4): Prompt: 'The ESG Contagion round is often underestimated. But notice this link — the social licence you managed (or failed to manage) in R4 determined which Circular Economy options were available to you in R7. Teams with negative social scores in R4 found their highest-return circular options blocked.'</w:t>
      </w:r>
    </w:p>
    <w:p>
      <w:pPr>
        <w:pStyle w:val="ListBullet"/>
      </w:pPr>
      <w:r>
        <w:t>R1 → R10 (ESG Materiality → Activist Ultimatum, strength 0.8): Prompt: 'This is the most powerful link in the constellation. The materiality framing you chose in Round 1 — what you decided was financially material versus what you dismissed — set the agenda for your entire strategic trajectory. Teams who underweighted climate or social risks in R1 face a structurally harder R10 ultimatum. What did you prioritise?'</w:t>
      </w:r>
    </w:p>
    <w:p>
      <w:pPr>
        <w:pStyle w:val="Heading2"/>
      </w:pPr>
      <w:r>
        <w:t>Recommended Debrief Facilitation Workflow</w:t>
      </w:r>
    </w:p>
    <w:p>
      <w:r>
        <w:t>Follow this 4-step protocol when using the Constellation in a group debrief:</w:t>
      </w:r>
    </w:p>
    <w:p>
      <w:pPr>
        <w:pStyle w:val="ListBullet"/>
      </w:pPr>
      <w:r>
        <w:t>Step 1 — Full Timeline, All Dimensions (2 min): Open the Constellation for the group and let everyone observe the full R1–R10 arc together. Ask: 'What is your first impression? What stands out?'</w:t>
      </w:r>
    </w:p>
    <w:p>
      <w:pPr>
        <w:pStyle w:val="ListBullet"/>
      </w:pPr>
      <w:r>
        <w:t>Step 2 — Filter by Dimension (3 min per filter): Cycle through E → S → G filters. For each filter, ask teams to count their active nodes. A team with 0 social nodes glowing bright demonstrates a siloed ESG strategy.</w:t>
      </w:r>
    </w:p>
    <w:p>
      <w:pPr>
        <w:pStyle w:val="ListBullet"/>
      </w:pPr>
      <w:r>
        <w:t>Step 3 — Click the Outlier Node (5 min): Ask each team to identify their single largest node (the biggest financial shock). Click it to reveal the tooltip. Ask: 'Was this a conscious strategic bet or an unintended consequence?'</w:t>
      </w:r>
    </w:p>
    <w:p>
      <w:pPr>
        <w:pStyle w:val="ListBullet"/>
      </w:pPr>
      <w:r>
        <w:t>Step 4 — Trace the Amber Lines (5 min): Walk through the three cross-causal links using the prompts above. Connect each link to the team's actual numeric outcomes.</w:t>
      </w:r>
    </w:p>
    <w:p>
      <w:pPr>
        <w:pStyle w:val="Heading2"/>
      </w:pPr>
      <w:r>
        <w:t>Nebula Colour Interpretation Table</w:t>
      </w:r>
    </w:p>
    <w:tbl>
      <w:tblPr>
        <w:tblStyle w:val="TableGrid"/>
        <w:tblW w:type="auto" w:w="0"/>
        <w:tblLook w:firstColumn="1" w:firstRow="1" w:lastColumn="0" w:lastRow="0" w:noHBand="0" w:noVBand="1" w:val="04A0"/>
      </w:tblPr>
      <w:tblGrid>
        <w:gridCol w:w="3135"/>
        <w:gridCol w:w="3135"/>
        <w:gridCol w:w="3135"/>
      </w:tblGrid>
      <w:tr>
        <w:tc>
          <w:tcPr>
            <w:tcW w:type="dxa" w:w="3135"/>
          </w:tcPr>
          <w:p>
            <w:r>
              <w:t>Nebula Colour</w:t>
            </w:r>
          </w:p>
        </w:tc>
        <w:tc>
          <w:tcPr>
            <w:tcW w:type="dxa" w:w="3135"/>
          </w:tcPr>
          <w:p>
            <w:r>
              <w:t>Reputation Range</w:t>
            </w:r>
          </w:p>
        </w:tc>
        <w:tc>
          <w:tcPr>
            <w:tcW w:type="dxa" w:w="3135"/>
          </w:tcPr>
          <w:p>
            <w:r>
              <w:t>Facilitator Interpretation</w:t>
            </w:r>
          </w:p>
        </w:tc>
      </w:tr>
      <w:tr>
        <w:tc>
          <w:tcPr>
            <w:tcW w:type="dxa" w:w="3135"/>
          </w:tcPr>
          <w:p>
            <w:r>
              <w:t>Green</w:t>
            </w:r>
          </w:p>
        </w:tc>
        <w:tc>
          <w:tcPr>
            <w:tcW w:type="dxa" w:w="3135"/>
          </w:tcPr>
          <w:p>
            <w:r>
              <w:t>≥ 65</w:t>
            </w:r>
          </w:p>
        </w:tc>
        <w:tc>
          <w:tcPr>
            <w:tcW w:type="dxa" w:w="3135"/>
          </w:tcPr>
          <w:p>
            <w:r>
              <w:t>Team maintained consistent stakeholder trust. ESG messaging was credible.</w:t>
            </w:r>
          </w:p>
        </w:tc>
      </w:tr>
      <w:tr>
        <w:tc>
          <w:tcPr>
            <w:tcW w:type="dxa" w:w="3135"/>
          </w:tcPr>
          <w:p>
            <w:r>
              <w:t>Amber</w:t>
            </w:r>
          </w:p>
        </w:tc>
        <w:tc>
          <w:tcPr>
            <w:tcW w:type="dxa" w:w="3135"/>
          </w:tcPr>
          <w:p>
            <w:r>
              <w:t>40–64</w:t>
            </w:r>
          </w:p>
        </w:tc>
        <w:tc>
          <w:tcPr>
            <w:tcW w:type="dxa" w:w="3135"/>
          </w:tcPr>
          <w:p>
            <w:r>
              <w:t>Mixed credibility. Some rounds damaged reputation; recovery was partial.</w:t>
            </w:r>
          </w:p>
        </w:tc>
      </w:tr>
      <w:tr>
        <w:tc>
          <w:tcPr>
            <w:tcW w:type="dxa" w:w="3135"/>
          </w:tcPr>
          <w:p>
            <w:r>
              <w:t>Red</w:t>
            </w:r>
          </w:p>
        </w:tc>
        <w:tc>
          <w:tcPr>
            <w:tcW w:type="dxa" w:w="3135"/>
          </w:tcPr>
          <w:p>
            <w:r>
              <w:t>&lt; 40</w:t>
            </w:r>
          </w:p>
        </w:tc>
        <w:tc>
          <w:tcPr>
            <w:tcW w:type="dxa" w:w="3135"/>
          </w:tcPr>
          <w:p>
            <w:r>
              <w:t>Reputation crisis. Team likely made at least one decision that severed social licence. Check R4 (Contagion) and R9 (Just Transition) nodes for culprits.</w:t>
            </w:r>
          </w:p>
        </w:tc>
      </w:tr>
    </w:tbl>
    <w:p/>
    <w:p>
      <w:pPr>
        <w:pStyle w:val="Heading2"/>
      </w:pPr>
      <w:r>
        <w:t>Common Player Misconceptions to Address</w:t>
      </w:r>
    </w:p>
    <w:p>
      <w:pPr>
        <w:pStyle w:val="ListBullet"/>
      </w:pPr>
      <w:r>
        <w:t>"Bigger nodes are better." — Correct this immediately. A large node means a large financial shock in either direction. A very large node from a costly green investment may have been wise; a large node from a crisis penalty was not.</w:t>
      </w:r>
    </w:p>
    <w:p>
      <w:pPr>
        <w:pStyle w:val="ListBullet"/>
      </w:pPr>
      <w:r>
        <w:t>"The amber lines mean we made mistakes." — Clarify that cross-causal links are not judgements. They are structural system relationships. The line from R1 to R10 exists regardless of whether R1 was a good or bad decision — it simply shows the system's long-range memory.</w:t>
      </w:r>
    </w:p>
    <w:p>
      <w:pPr>
        <w:pStyle w:val="ListBullet"/>
      </w:pPr>
      <w:r>
        <w:t>"A green nebula means we won." — Reputation is one metric. A team can have a green nebula and still be in financial loss. The Constellation shows the multi-dimensional nature of the challenge — no single metric tells the full story.</w:t>
      </w:r>
    </w:p>
    <w:p>
      <w:r>
        <w:br w:type="page"/>
      </w:r>
    </w:p>
    <w:p>
      <w:pPr>
        <w:pStyle w:val="Heading1"/>
      </w:pPr>
      <w:r>
        <w:t>Appendix: Factory Reset &amp; Data Deletion Reference</w:t>
      </w:r>
    </w:p>
    <w:p>
      <w:r>
        <w:t>This appendix documents exactly what the "Factory Reset" command in God Mode destroys when a Super Admin types DELETE ALL DATA and confirms the nuclear wipe. Understanding the scope of this action is critical before using it in a live teaching environment.</w:t>
      </w:r>
    </w:p>
    <w:p>
      <w:pPr>
        <w:pStyle w:val="Heading2"/>
      </w:pPr>
      <w:r>
        <w:t>Overview</w:t>
      </w:r>
    </w:p>
    <w:p>
      <w:r>
        <w:t>The Factory Reset is a two-stage safeguarded operation accessible only from God Mode → Danger Zone → Factory Reset. It requires the Super Admin to:</w:t>
      </w:r>
    </w:p>
    <w:p>
      <w:pPr>
        <w:pStyle w:val="ListBullet"/>
      </w:pPr>
      <w:r>
        <w:t>Type the exact phrase DELETE ALL DATA into a confirmation field.</w:t>
      </w:r>
    </w:p>
    <w:p>
      <w:pPr>
        <w:pStyle w:val="ListBullet"/>
      </w:pPr>
      <w:r>
        <w:t>Click the ☢️ Factory Nuke All Sessions button.</w:t>
      </w:r>
    </w:p>
    <w:p>
      <w:pPr>
        <w:pStyle w:val="ListBullet"/>
      </w:pPr>
      <w:r>
        <w:t>Wait through a mandatory 15-second countdown (which can be cancelled).</w:t>
      </w:r>
    </w:p>
    <w:p>
      <w:r>
        <w:t>Once the countdown reaches zero, the system calls the backend endpoint DELETE /api/admin/reset-all, which performs a hard delete across all data stores. This action cannot be undone.</w:t>
      </w:r>
    </w:p>
    <w:p>
      <w:pPr>
        <w:pStyle w:val="Heading2"/>
      </w:pPr>
      <w:r>
        <w:t>What the Factory Reset Deletes</w:t>
      </w:r>
    </w:p>
    <w:p>
      <w:r>
        <w:t>The reset operates across two layers: the database persistence layer and the admin application layer. The following tables itemise every data store that is wiped.</w:t>
      </w:r>
    </w:p>
    <w:p>
      <w:pPr>
        <w:pStyle w:val="Heading3"/>
      </w:pPr>
      <w:r>
        <w:t>1. Database Layer (Persistent Storage)</w:t>
      </w:r>
    </w:p>
    <w:p>
      <w:r>
        <w:t>These four core data stores are completely cleared. Their contents are also removed from the on-disk JSON persistence file, meaning the data cannot be recovered after a server restart.</w:t>
      </w:r>
    </w:p>
    <w:tbl>
      <w:tblPr>
        <w:tblStyle w:val="TableGrid"/>
        <w:tblW w:type="auto" w:w="0"/>
        <w:tblLook w:firstColumn="1" w:firstRow="1" w:lastColumn="0" w:lastRow="0" w:noHBand="0" w:noVBand="1" w:val="04A0"/>
      </w:tblPr>
      <w:tblGrid>
        <w:gridCol w:w="3135"/>
        <w:gridCol w:w="3135"/>
        <w:gridCol w:w="3135"/>
      </w:tblGrid>
      <w:tr>
        <w:tc>
          <w:tcPr>
            <w:tcW w:type="dxa" w:w="3135"/>
          </w:tcPr>
          <w:p>
            <w:r>
              <w:t>Data Store</w:t>
            </w:r>
          </w:p>
        </w:tc>
        <w:tc>
          <w:tcPr>
            <w:tcW w:type="dxa" w:w="3135"/>
          </w:tcPr>
          <w:p>
            <w:r>
              <w:t>Contents</w:t>
            </w:r>
          </w:p>
        </w:tc>
        <w:tc>
          <w:tcPr>
            <w:tcW w:type="dxa" w:w="3135"/>
          </w:tcPr>
          <w:p>
            <w:r>
              <w:t>Impact of Deletion</w:t>
            </w:r>
          </w:p>
        </w:tc>
      </w:tr>
      <w:tr>
        <w:tc>
          <w:tcPr>
            <w:tcW w:type="dxa" w:w="3135"/>
          </w:tcPr>
          <w:p>
            <w:r>
              <w:t>Sessions Registry</w:t>
              <w:br/>
              <w:t>(_sessions)</w:t>
            </w:r>
          </w:p>
        </w:tc>
        <w:tc>
          <w:tcPr>
            <w:tcW w:type="dxa" w:w="3135"/>
          </w:tcPr>
          <w:p>
            <w:r>
              <w:t>All session metadata: cohort names, facilitator assignments, player IDs, parent–child relationships, paradigm settings, currency, difficulty tier, short codes (e.g. SIM-A3K7), pedagogical overrides, pacing mode, shuffle seeds, start/end dates, decade forward plans.</w:t>
            </w:r>
          </w:p>
        </w:tc>
        <w:tc>
          <w:tcPr>
            <w:tcW w:type="dxa" w:w="3135"/>
          </w:tcPr>
          <w:p>
            <w:r>
              <w:t>Every cohort and every player account vanishes. No session can be loaded or resumed. All join codes become invalid.</w:t>
            </w:r>
          </w:p>
        </w:tc>
      </w:tr>
      <w:tr>
        <w:tc>
          <w:tcPr>
            <w:tcW w:type="dxa" w:w="3135"/>
          </w:tcPr>
          <w:p>
            <w:r>
              <w:t>Global State History</w:t>
              <w:br/>
              <w:t>(_global_states)</w:t>
            </w:r>
          </w:p>
        </w:tc>
        <w:tc>
          <w:tcPr>
            <w:tcW w:type="dxa" w:w="3135"/>
          </w:tcPr>
          <w:p>
            <w:r>
              <w:t>Every round's global state for every session: corporate treasury, group reputation, synergy multiplier, cost of capital, all active event flags, EBITDA history, tCO₂e emissions, VRIO capabilities, stakeholder map data, tipping point state, pending capex projects, inflation index, SDG metrics (political capital, community trust, emissions intensity), BU substitution state, and autonomous stakeholder agent state.</w:t>
            </w:r>
          </w:p>
        </w:tc>
        <w:tc>
          <w:tcPr>
            <w:tcW w:type="dxa" w:w="3135"/>
          </w:tcPr>
          <w:p>
            <w:r>
              <w:t>All simulation progress is erased. Round-by-round state history used by the Executive Cockpit, ESG Constellation, Consequence DNA, and debrief tools is permanently lost.</w:t>
            </w:r>
          </w:p>
        </w:tc>
      </w:tr>
      <w:tr>
        <w:tc>
          <w:tcPr>
            <w:tcW w:type="dxa" w:w="3135"/>
          </w:tcPr>
          <w:p>
            <w:r>
              <w:t>Business Unit States</w:t>
              <w:br/>
              <w:t>(_bu_states)</w:t>
            </w:r>
          </w:p>
        </w:tc>
        <w:tc>
          <w:tcPr>
            <w:tcW w:type="dxa" w:w="3135"/>
          </w:tcPr>
          <w:p>
            <w:r>
              <w:t>Per-round snapshots for every business unit: revenue base, opex base, natural capital debt, social licence score, reputation score, governance risk score, water dependency, carbon intensity, staff burnout index, bed capacity utilisation, patient outcomes score, SDG cluster scores (basic needs, human capital, sustainable growth, planet, governance, partnerships), population, migration pressure, and risk factors.</w:t>
            </w:r>
          </w:p>
        </w:tc>
        <w:tc>
          <w:tcPr>
            <w:tcW w:type="dxa" w:w="3135"/>
          </w:tcPr>
          <w:p>
            <w:r>
              <w:t>All BU-level performance history is destroyed. The balanced scorecard, risk radar, and BU comparison tools will show no data.</w:t>
            </w:r>
          </w:p>
        </w:tc>
      </w:tr>
      <w:tr>
        <w:tc>
          <w:tcPr>
            <w:tcW w:type="dxa" w:w="3135"/>
          </w:tcPr>
          <w:p>
            <w:r>
              <w:t>Decision Audit Log</w:t>
              <w:br/>
              <w:t>(_decision_log)</w:t>
            </w:r>
          </w:p>
        </w:tc>
        <w:tc>
          <w:tcPr>
            <w:tcW w:type="dxa" w:w="3135"/>
          </w:tcPr>
          <w:p>
            <w:r>
              <w:t>The complete audit trail of every decision made across all sessions: decision node ID, choice selected (e.g. option_a), capex allocated, player ID, time-to-decision in seconds, and team consensus method.</w:t>
            </w:r>
          </w:p>
        </w:tc>
        <w:tc>
          <w:tcPr>
            <w:tcW w:type="dxa" w:w="3135"/>
          </w:tcPr>
          <w:p>
            <w:r>
              <w:t>All decision history is lost. The Decision Timeline, Debrief Report, and Consequence DNA Sankey diagram will have no data to render. Academic assessment of player choices is no longer possible.</w:t>
            </w:r>
          </w:p>
        </w:tc>
      </w:tr>
    </w:tbl>
    <w:p/>
    <w:p>
      <w:pPr>
        <w:pStyle w:val="Heading3"/>
      </w:pPr>
      <w:r>
        <w:t>2. Admin Application Layer (In-Memory State)</w:t>
      </w:r>
    </w:p>
    <w:p>
      <w:r>
        <w:t>In addition to the persistent database, several in-memory admin data stores are cleared during the reset:</w:t>
      </w:r>
    </w:p>
    <w:tbl>
      <w:tblPr>
        <w:tblStyle w:val="TableGrid"/>
        <w:tblW w:type="auto" w:w="0"/>
        <w:tblLook w:firstColumn="1" w:firstRow="1" w:lastColumn="0" w:lastRow="0" w:noHBand="0" w:noVBand="1" w:val="04A0"/>
      </w:tblPr>
      <w:tblGrid>
        <w:gridCol w:w="4703"/>
        <w:gridCol w:w="4703"/>
      </w:tblGrid>
      <w:tr>
        <w:tc>
          <w:tcPr>
            <w:tcW w:type="dxa" w:w="4703"/>
          </w:tcPr>
          <w:p>
            <w:r>
              <w:t>Data Store</w:t>
            </w:r>
          </w:p>
        </w:tc>
        <w:tc>
          <w:tcPr>
            <w:tcW w:type="dxa" w:w="4703"/>
          </w:tcPr>
          <w:p>
            <w:r>
              <w:t>What Is Lost</w:t>
            </w:r>
          </w:p>
        </w:tc>
      </w:tr>
      <w:tr>
        <w:tc>
          <w:tcPr>
            <w:tcW w:type="dxa" w:w="4703"/>
          </w:tcPr>
          <w:p>
            <w:r>
              <w:t>God Mode Audit Log</w:t>
            </w:r>
          </w:p>
        </w:tc>
        <w:tc>
          <w:tcPr>
            <w:tcW w:type="dxa" w:w="4703"/>
          </w:tcPr>
          <w:p>
            <w:r>
              <w:t>All logged God Mode actions (e.g. crisis triggers, manual overrides, facilitator registrations). The Activity Log panel will be empty.</w:t>
            </w:r>
          </w:p>
        </w:tc>
      </w:tr>
      <w:tr>
        <w:tc>
          <w:tcPr>
            <w:tcW w:type="dxa" w:w="4703"/>
          </w:tcPr>
          <w:p>
            <w:r>
              <w:t>Crisis Trigger History</w:t>
            </w:r>
          </w:p>
        </w:tc>
        <w:tc>
          <w:tcPr>
            <w:tcW w:type="dxa" w:w="4703"/>
          </w:tcPr>
          <w:p>
            <w:r>
              <w:t>The history of all manually triggered crises (e.g. forced strikes, carbon tax increases). Future crisis scheduling is also cleared.</w:t>
            </w:r>
          </w:p>
        </w:tc>
      </w:tr>
      <w:tr>
        <w:tc>
          <w:tcPr>
            <w:tcW w:type="dxa" w:w="4703"/>
          </w:tcPr>
          <w:p>
            <w:r>
              <w:t>Session Messages</w:t>
            </w:r>
          </w:p>
        </w:tc>
        <w:tc>
          <w:tcPr>
            <w:tcW w:type="dxa" w:w="4703"/>
          </w:tcPr>
          <w:p>
            <w:r>
              <w:t>All facilitator broadcast messages sent to specific sessions via the Universal Broadcast tool.</w:t>
            </w:r>
          </w:p>
        </w:tc>
      </w:tr>
      <w:tr>
        <w:tc>
          <w:tcPr>
            <w:tcW w:type="dxa" w:w="4703"/>
          </w:tcPr>
          <w:p>
            <w:r>
              <w:t>Session Interventions</w:t>
            </w:r>
          </w:p>
        </w:tc>
        <w:tc>
          <w:tcPr>
            <w:tcW w:type="dxa" w:w="4703"/>
          </w:tcPr>
          <w:p>
            <w:r>
              <w:t>All active interventions pushed to player sessions (e.g. live scenario overrides, custom Black Swan events).</w:t>
            </w:r>
          </w:p>
        </w:tc>
      </w:tr>
      <w:tr>
        <w:tc>
          <w:tcPr>
            <w:tcW w:type="dxa" w:w="4703"/>
          </w:tcPr>
          <w:p>
            <w:r>
              <w:t>Practice Mode Flags</w:t>
            </w:r>
          </w:p>
        </w:tc>
        <w:tc>
          <w:tcPr>
            <w:tcW w:type="dxa" w:w="4703"/>
          </w:tcPr>
          <w:p>
            <w:r>
              <w:t>Practice mode on/off state for all sessions. Any sessions that were in practice mode lose that designation.</w:t>
            </w:r>
          </w:p>
        </w:tc>
      </w:tr>
      <w:tr>
        <w:tc>
          <w:tcPr>
            <w:tcW w:type="dxa" w:w="4703"/>
          </w:tcPr>
          <w:p>
            <w:r>
              <w:t>Round Pacing Configuration</w:t>
            </w:r>
          </w:p>
        </w:tc>
        <w:tc>
          <w:tcPr>
            <w:tcW w:type="dxa" w:w="4703"/>
          </w:tcPr>
          <w:p>
            <w:r>
              <w:t>Per-session round gating and pacing config. Any cohorts using instructor-paced or timed-release modes lose those settings.</w:t>
            </w:r>
          </w:p>
        </w:tc>
      </w:tr>
      <w:tr>
        <w:tc>
          <w:tcPr>
            <w:tcW w:type="dxa" w:w="4703"/>
          </w:tcPr>
          <w:p>
            <w:r>
              <w:t>Facilitator Registry</w:t>
            </w:r>
          </w:p>
        </w:tc>
        <w:tc>
          <w:tcPr>
            <w:tcW w:type="dxa" w:w="4703"/>
          </w:tcPr>
          <w:p>
            <w:r>
              <w:t>ALL facilitator accounts are deleted and replaced with a single default Super Admin facilitator (god_mode). Every custom facilitator created via the Facilitator Registry — including Lead Facilitators and Base Facilitators — is permanently removed. Their passwords and scope assignments are lost.</w:t>
            </w:r>
          </w:p>
        </w:tc>
      </w:tr>
      <w:tr>
        <w:tc>
          <w:tcPr>
            <w:tcW w:type="dxa" w:w="4703"/>
          </w:tcPr>
          <w:p>
            <w:r>
              <w:t>Shared Marketplace State</w:t>
            </w:r>
          </w:p>
        </w:tc>
        <w:tc>
          <w:tcPr>
            <w:tcW w:type="dxa" w:w="4703"/>
          </w:tcPr>
          <w:p>
            <w:r>
              <w:t>Carbon Credit Pool: all purchases are cleared and the price history is reset to the baseline [$50,000 per credit]. Green Talent Pool: all hires are cleared and the cost history is reset to the baseline [$200,000 per hire].</w:t>
            </w:r>
          </w:p>
        </w:tc>
      </w:tr>
      <w:tr>
        <w:tc>
          <w:tcPr>
            <w:tcW w:type="dxa" w:w="4703"/>
          </w:tcPr>
          <w:p>
            <w:r>
              <w:t>Facilitator Notes</w:t>
            </w:r>
          </w:p>
        </w:tc>
        <w:tc>
          <w:tcPr>
            <w:tcW w:type="dxa" w:w="4703"/>
          </w:tcPr>
          <w:p>
            <w:r>
              <w:t>All per-session facilitator notes and comments are erased.</w:t>
            </w:r>
          </w:p>
        </w:tc>
      </w:tr>
      <w:tr>
        <w:tc>
          <w:tcPr>
            <w:tcW w:type="dxa" w:w="4703"/>
          </w:tcPr>
          <w:p>
            <w:r>
              <w:t>Student Bonuses &amp; Peer Evaluations</w:t>
            </w:r>
          </w:p>
        </w:tc>
        <w:tc>
          <w:tcPr>
            <w:tcW w:type="dxa" w:w="4703"/>
          </w:tcPr>
          <w:p>
            <w:r>
              <w:t>Any bonus scores awarded to students and peer evaluation data are deleted.</w:t>
            </w:r>
          </w:p>
        </w:tc>
      </w:tr>
      <w:tr>
        <w:tc>
          <w:tcPr>
            <w:tcW w:type="dxa" w:w="4703"/>
          </w:tcPr>
          <w:p>
            <w:r>
              <w:t>Session Annotations</w:t>
            </w:r>
          </w:p>
        </w:tc>
        <w:tc>
          <w:tcPr>
            <w:tcW w:type="dxa" w:w="4703"/>
          </w:tcPr>
          <w:p>
            <w:r>
              <w:t>Per-session annotations used for tagging and categorising session behaviour are removed.</w:t>
            </w:r>
          </w:p>
        </w:tc>
      </w:tr>
    </w:tbl>
    <w:p/>
    <w:p>
      <w:pPr>
        <w:pStyle w:val="Heading2"/>
      </w:pPr>
      <w:r>
        <w:t>What the Factory Reset Does NOT Delete</w:t>
      </w:r>
    </w:p>
    <w:p>
      <w:r>
        <w:t>The following items survive a Factory Reset and remain intact after the wipe:</w:t>
      </w:r>
    </w:p>
    <w:tbl>
      <w:tblPr>
        <w:tblStyle w:val="TableGrid"/>
        <w:tblW w:type="auto" w:w="0"/>
        <w:tblLook w:firstColumn="1" w:firstRow="1" w:lastColumn="0" w:lastRow="0" w:noHBand="0" w:noVBand="1" w:val="04A0"/>
      </w:tblPr>
      <w:tblGrid>
        <w:gridCol w:w="4703"/>
        <w:gridCol w:w="4703"/>
      </w:tblGrid>
      <w:tr>
        <w:tc>
          <w:tcPr>
            <w:tcW w:type="dxa" w:w="4703"/>
          </w:tcPr>
          <w:p>
            <w:r>
              <w:t>Item</w:t>
            </w:r>
          </w:p>
        </w:tc>
        <w:tc>
          <w:tcPr>
            <w:tcW w:type="dxa" w:w="4703"/>
          </w:tcPr>
          <w:p>
            <w:r>
              <w:t>Why It Survives</w:t>
            </w:r>
          </w:p>
        </w:tc>
      </w:tr>
      <w:tr>
        <w:tc>
          <w:tcPr>
            <w:tcW w:type="dxa" w:w="4703"/>
          </w:tcPr>
          <w:p>
            <w:r>
              <w:t>God Mode Password</w:t>
            </w:r>
          </w:p>
        </w:tc>
        <w:tc>
          <w:tcPr>
            <w:tcW w:type="dxa" w:w="4703"/>
          </w:tcPr>
          <w:p>
            <w:r>
              <w:t>The master God Mode password is stored in a separate persistence file and is not touched by the reset. You will not be locked out.</w:t>
            </w:r>
          </w:p>
        </w:tc>
      </w:tr>
      <w:tr>
        <w:tc>
          <w:tcPr>
            <w:tcW w:type="dxa" w:w="4703"/>
          </w:tcPr>
          <w:p>
            <w:r>
              <w:t>Resource Library</w:t>
            </w:r>
          </w:p>
        </w:tc>
        <w:tc>
          <w:tcPr>
            <w:tcW w:type="dxa" w:w="4703"/>
          </w:tcPr>
          <w:p>
            <w:r>
              <w:t>Uploaded teaching resources (PDFs, links, documents) managed via the Resource Manager are stored independently and are not cleared.</w:t>
            </w:r>
          </w:p>
        </w:tc>
      </w:tr>
      <w:tr>
        <w:tc>
          <w:tcPr>
            <w:tcW w:type="dxa" w:w="4703"/>
          </w:tcPr>
          <w:p>
            <w:r>
              <w:t>Glossary Entries</w:t>
            </w:r>
          </w:p>
        </w:tc>
        <w:tc>
          <w:tcPr>
            <w:tcW w:type="dxa" w:w="4703"/>
          </w:tcPr>
          <w:p>
            <w:r>
              <w:t>Custom glossary definitions added via the Glossary Manager survive the reset.</w:t>
            </w:r>
          </w:p>
        </w:tc>
      </w:tr>
      <w:tr>
        <w:tc>
          <w:tcPr>
            <w:tcW w:type="dxa" w:w="4703"/>
          </w:tcPr>
          <w:p>
            <w:r>
              <w:t>Uploaded Media Files</w:t>
            </w:r>
          </w:p>
        </w:tc>
        <w:tc>
          <w:tcPr>
            <w:tcW w:type="dxa" w:w="4703"/>
          </w:tcPr>
          <w:p>
            <w:r>
              <w:t>Physical files uploaded for interventions (audio, video, images) remain on disk in the /public/uploads/ directory. However, the intervention records that reference them are cleared.</w:t>
            </w:r>
          </w:p>
        </w:tc>
      </w:tr>
      <w:tr>
        <w:tc>
          <w:tcPr>
            <w:tcW w:type="dxa" w:w="4703"/>
          </w:tcPr>
          <w:p>
            <w:r>
              <w:t>Master Overrides &amp; Swipe Files</w:t>
            </w:r>
          </w:p>
        </w:tc>
        <w:tc>
          <w:tcPr>
            <w:tcW w:type="dxa" w:w="4703"/>
          </w:tcPr>
          <w:p>
            <w:r>
              <w:t>The God Mode master intervention database (e.g. Global Macro Shift, Omni-Tech Poach, Force Strike) and all swipe file presets are NOT cleared. These are defined at the application level and persist.</w:t>
            </w:r>
          </w:p>
        </w:tc>
      </w:tr>
      <w:tr>
        <w:tc>
          <w:tcPr>
            <w:tcW w:type="dxa" w:w="4703"/>
          </w:tcPr>
          <w:p>
            <w:r>
              <w:t>Round Configuration</w:t>
            </w:r>
          </w:p>
        </w:tc>
        <w:tc>
          <w:tcPr>
            <w:tcW w:type="dxa" w:w="4703"/>
          </w:tcPr>
          <w:p>
            <w:r>
              <w:t>The 10-round scenario configuration (crisis definitions, options, flags, impacts) is static application code and is never modified by the reset.</w:t>
            </w:r>
          </w:p>
        </w:tc>
      </w:tr>
      <w:tr>
        <w:tc>
          <w:tcPr>
            <w:tcW w:type="dxa" w:w="4703"/>
          </w:tcPr>
          <w:p>
            <w:r>
              <w:t>Application Code &amp; Settings</w:t>
            </w:r>
          </w:p>
        </w:tc>
        <w:tc>
          <w:tcPr>
            <w:tcW w:type="dxa" w:w="4703"/>
          </w:tcPr>
          <w:p>
            <w:r>
              <w:t>All frontend components, backend logic, and UI configuration are unaffected. The simulation is fully functional immediately after a reset — it simply has no sessions to display.</w:t>
            </w:r>
          </w:p>
        </w:tc>
      </w:tr>
    </w:tbl>
    <w:p/>
    <w:p>
      <w:pPr>
        <w:pStyle w:val="Heading2"/>
      </w:pPr>
      <w:r>
        <w:t>Targeted Alternatives to Factory Reset</w:t>
      </w:r>
    </w:p>
    <w:p>
      <w:r>
        <w:t>Before using the Factory Reset, consider whether one of these less destructive options in the Danger Zone panel would suffice:</w:t>
      </w:r>
    </w:p>
    <w:tbl>
      <w:tblPr>
        <w:tblStyle w:val="TableGrid"/>
        <w:tblW w:type="auto" w:w="0"/>
        <w:tblLook w:firstColumn="1" w:firstRow="1" w:lastColumn="0" w:lastRow="0" w:noHBand="0" w:noVBand="1" w:val="04A0"/>
      </w:tblPr>
      <w:tblGrid>
        <w:gridCol w:w="3135"/>
        <w:gridCol w:w="3135"/>
        <w:gridCol w:w="3135"/>
      </w:tblGrid>
      <w:tr>
        <w:tc>
          <w:tcPr>
            <w:tcW w:type="dxa" w:w="3135"/>
          </w:tcPr>
          <w:p>
            <w:r>
              <w:t>Action</w:t>
            </w:r>
          </w:p>
        </w:tc>
        <w:tc>
          <w:tcPr>
            <w:tcW w:type="dxa" w:w="3135"/>
          </w:tcPr>
          <w:p>
            <w:r>
              <w:t>Scope</w:t>
            </w:r>
          </w:p>
        </w:tc>
        <w:tc>
          <w:tcPr>
            <w:tcW w:type="dxa" w:w="3135"/>
          </w:tcPr>
          <w:p>
            <w:r>
              <w:t>Use When</w:t>
            </w:r>
          </w:p>
        </w:tc>
      </w:tr>
      <w:tr>
        <w:tc>
          <w:tcPr>
            <w:tcW w:type="dxa" w:w="3135"/>
          </w:tcPr>
          <w:p>
            <w:r>
              <w:t>Delete Selected Cohorts</w:t>
            </w:r>
          </w:p>
        </w:tc>
        <w:tc>
          <w:tcPr>
            <w:tcW w:type="dxa" w:w="3135"/>
          </w:tcPr>
          <w:p>
            <w:r>
              <w:t>Removes only the checked cohorts and their child player sessions.</w:t>
            </w:r>
          </w:p>
        </w:tc>
        <w:tc>
          <w:tcPr>
            <w:tcW w:type="dxa" w:w="3135"/>
          </w:tcPr>
          <w:p>
            <w:r>
              <w:t>You want to clean up specific completed or test cohorts without affecting other active classes.</w:t>
            </w:r>
          </w:p>
        </w:tc>
      </w:tr>
      <w:tr>
        <w:tc>
          <w:tcPr>
            <w:tcW w:type="dxa" w:w="3135"/>
          </w:tcPr>
          <w:p>
            <w:r>
              <w:t>Clear All Orphans Globally</w:t>
            </w:r>
          </w:p>
        </w:tc>
        <w:tc>
          <w:tcPr>
            <w:tcW w:type="dxa" w:w="3135"/>
          </w:tcPr>
          <w:p>
            <w:r>
              <w:t>Removes only cohorts that have no facilitator assigned.</w:t>
            </w:r>
          </w:p>
        </w:tc>
        <w:tc>
          <w:tcPr>
            <w:tcW w:type="dxa" w:w="3135"/>
          </w:tcPr>
          <w:p>
            <w:r>
              <w:t>You want to clean up sessions created during testing or by deleted facilitator accounts.</w:t>
            </w:r>
          </w:p>
        </w:tc>
      </w:tr>
      <w:tr>
        <w:tc>
          <w:tcPr>
            <w:tcW w:type="dxa" w:w="3135"/>
          </w:tcPr>
          <w:p>
            <w:r>
              <w:t>Undo Round (Facilitator Dashboard)</w:t>
            </w:r>
          </w:p>
        </w:tc>
        <w:tc>
          <w:tcPr>
            <w:tcW w:type="dxa" w:w="3135"/>
          </w:tcPr>
          <w:p>
            <w:r>
              <w:t>Rolls a specific session back by one or more rounds.</w:t>
            </w:r>
          </w:p>
        </w:tc>
        <w:tc>
          <w:tcPr>
            <w:tcW w:type="dxa" w:w="3135"/>
          </w:tcPr>
          <w:p>
            <w:r>
              <w:t>A cohort made a decision in error and needs to retry. No data is permanently deleted — it can be replayed.</w:t>
            </w:r>
          </w:p>
        </w:tc>
      </w:tr>
    </w:tbl>
    <w:p/>
    <w:p>
      <w:pPr>
        <w:pStyle w:val="Heading2"/>
      </w:pPr>
      <w:r>
        <w:t>Pre-Reset Checklist</w:t>
      </w:r>
    </w:p>
    <w:p>
      <w:r>
        <w:t>If you have confirmed that a full Factory Reset is necessary (e.g. between semesters or after a major pilot), complete the following checklist before proceeding:</w:t>
      </w:r>
    </w:p>
    <w:p>
      <w:pPr>
        <w:pStyle w:val="ListBullet"/>
      </w:pPr>
      <w:r>
        <w:t>☐ Export all session data — Use God Mode → System Export to download JSON snapshots of every active session before they are destroyed.</w:t>
      </w:r>
    </w:p>
    <w:p>
      <w:pPr>
        <w:pStyle w:val="ListBullet"/>
      </w:pPr>
      <w:r>
        <w:t>☐ Download debrief reports — Generate and save Debrief Reports for any cohorts that require academic grading or archival.</w:t>
      </w:r>
    </w:p>
    <w:p>
      <w:pPr>
        <w:pStyle w:val="ListBullet"/>
      </w:pPr>
      <w:r>
        <w:t>☐ Record facilitator accounts — Note down the names and IDs of all custom facilitator accounts, as they will need to be recreated after the reset.</w:t>
      </w:r>
    </w:p>
    <w:p>
      <w:pPr>
        <w:pStyle w:val="ListBullet"/>
      </w:pPr>
      <w:r>
        <w:t>☐ Confirm no active players — Verify that no students are currently mid-session. Active WebSocket connections will be severed without warning.</w:t>
      </w:r>
    </w:p>
    <w:p>
      <w:pPr>
        <w:pStyle w:val="ListBullet"/>
      </w:pPr>
      <w:r>
        <w:t>☐ Communicate to teaching team — Inform all facilitators that the reset is happening, as their dashboard will show zero cohorts afterward.</w:t>
      </w:r>
    </w:p>
    <w:p>
      <w:pPr>
        <w:pStyle w:val="Heading2"/>
      </w:pPr>
      <w:r>
        <w:t>Post-Reset State</w:t>
      </w:r>
    </w:p>
    <w:p>
      <w:r>
        <w:t>After a successful Factory Reset, the system returns to a clean-install state:</w:t>
      </w:r>
    </w:p>
    <w:p>
      <w:pPr>
        <w:pStyle w:val="ListBullet"/>
      </w:pPr>
      <w:r>
        <w:t>Zero cohorts and zero player sessions.</w:t>
      </w:r>
    </w:p>
    <w:p>
      <w:pPr>
        <w:pStyle w:val="ListBullet"/>
      </w:pPr>
      <w:r>
        <w:t>A single default Super Admin facilitator account (god_mode).</w:t>
      </w:r>
    </w:p>
    <w:p>
      <w:pPr>
        <w:pStyle w:val="ListBullet"/>
      </w:pPr>
      <w:r>
        <w:t>The shared marketplace is reset: carbon credits at $50,000/credit and green talent at $200,000/hire.</w:t>
      </w:r>
    </w:p>
    <w:p>
      <w:pPr>
        <w:pStyle w:val="ListBullet"/>
      </w:pPr>
      <w:r>
        <w:t>All admin logs, notes, and intervention history are empty.</w:t>
      </w:r>
    </w:p>
    <w:p>
      <w:pPr>
        <w:pStyle w:val="ListBullet"/>
      </w:pPr>
      <w:r>
        <w:t>The God Mode dashboard is fully functional and ready to provision new cohorts immediately.</w:t>
      </w:r>
    </w:p>
    <w:p>
      <w:r>
        <w:t>The confirmation message displayed after a successful reset reads: "✅ All [N] sessions wiped." where [N] is the total number of sessions (including player sub-sessions) that were destroyed.</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