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aps/>
          <w:color w:val="D97706"/>
          <w:sz w:val="20"/>
          <w:szCs w:val="20"/>
        </w:rPr>
        <w:t xml:space="preserve">MURESSONS GLOBAL CORPORATION</w:t>
      </w:r>
    </w:p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Carbon (T) &amp; SBU Investment — Mechanics Note</w:t>
      </w:r>
    </w:p>
    <w:p>
      <w:pPr>
        <w:spacing w:after="40"/>
        <w:jc w:val="center"/>
      </w:pPr>
      <w:r>
        <w:rPr>
          <w:i/>
          <w:iCs/>
          <w:color w:val="6B7280"/>
          <w:sz w:val="20"/>
          <w:szCs w:val="20"/>
        </w:rPr>
        <w:t xml:space="preserve">How the simulation computes group emissions, and how per-SBU investment shapes performance</w:t>
      </w:r>
    </w:p>
    <w:p>
      <w:pPr>
        <w:pBdr>
          <w:bottom w:val="single" w:color="D97706" w:sz="6"/>
        </w:pBdr>
        <w:spacing w:after="200"/>
        <w:jc w:val="center"/>
      </w:pPr>
      <w:r>
        <w:rPr>
          <w:color w:val="6B7280"/>
          <w:sz w:val="16"/>
          <w:szCs w:val="16"/>
        </w:rPr>
        <w:t xml:space="preserve">Instructor / player reference · grounded in the engine source</w:t>
      </w:r>
    </w:p>
    <w:p>
      <w:pPr>
        <w:spacing w:after="140" w:line="276"/>
      </w:pPr>
      <w:r>
        <w:t xml:space="preserve">This note explains two things students frequently ask about: how the </w:t>
      </w:r>
      <w:r>
        <w:rPr>
          <w:b/>
          <w:bCs/>
        </w:rPr>
        <w:t xml:space="preserve">Carbon (T)</w:t>
      </w:r>
      <w:r>
        <w:t xml:space="preserve"> figure on the Balanced Scorecard is produced, and what the </w:t>
      </w:r>
      <w:r>
        <w:rPr>
          <w:b/>
          <w:bCs/>
        </w:rPr>
        <w:t xml:space="preserve">investment you allocate to each Strategic Business Unit (SBU)</w:t>
      </w:r>
      <w:r>
        <w:t xml:space="preserve"> actually does to the numbers. All formulas and constants below are taken directly from the simulation engine, so the worked examples reconcile with what you see on screen.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1.  How Carbon (T) is calculated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1.1  The formula</w:t>
      </w:r>
    </w:p>
    <w:p>
      <w:pPr>
        <w:spacing w:after="140" w:line="276"/>
      </w:pPr>
      <w:r>
        <w:t xml:space="preserve">The </w:t>
      </w:r>
      <w:r>
        <w:rPr>
          <w:b/>
          <w:bCs/>
        </w:rPr>
        <w:t xml:space="preserve">Carbon (T)</w:t>
      </w:r>
      <w:r>
        <w:t xml:space="preserve"> column is the group's absolute emissions for the round, in tonnes of CO</w:t>
      </w:r>
      <w:r>
        <w:rPr>
          <w:vertAlign w:val="subscript"/>
        </w:rPr>
        <w:t xml:space="preserve">2</w:t>
      </w:r>
      <w:r>
        <w:t xml:space="preserve">e (</w:t>
      </w:r>
      <w:r>
        <w:rPr>
          <w:i/>
          <w:iCs/>
        </w:rPr>
        <w:t xml:space="preserve">tCO₂e</w:t>
      </w:r>
      <w:r>
        <w:t xml:space="preserve">). The engine sums, across your four SBUs, each unit's </w:t>
      </w:r>
      <w:r>
        <w:rPr>
          <w:b/>
          <w:bCs/>
        </w:rPr>
        <w:t xml:space="preserve">carbon intensity</w:t>
      </w:r>
      <w:r>
        <w:t xml:space="preserve"> multiplied by its </w:t>
      </w:r>
      <w:r>
        <w:rPr>
          <w:b/>
          <w:bCs/>
        </w:rPr>
        <w:t xml:space="preserve">revenue</w:t>
      </w:r>
      <w:r>
        <w:t xml:space="preserve">:</w:t>
      </w:r>
    </w:p>
    <w:p>
      <w:pPr>
        <w:pBdr>
          <w:top w:val="single" w:color="D97706" w:sz="4"/>
          <w:bottom w:val="single" w:color="D97706" w:sz="4"/>
        </w:pBdr>
        <w:shd w:fill="F8FAFC" w:color="auto" w:val="clear"/>
        <w:spacing w:after="140" w:before="80"/>
        <w:jc w:val="center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Carbon (T)  =  Σ over SBUs of  ( carbon_intensity × revenue_base ÷ 1,000,000 )</w:t>
      </w:r>
    </w:p>
    <w:p>
      <w:pPr>
        <w:spacing w:after="140" w:line="276"/>
      </w:pPr>
      <w:r>
        <w:t xml:space="preserve">Here </w:t>
      </w:r>
      <w:r>
        <w:rPr>
          <w:rFonts w:ascii="Consolas" w:cs="Consolas" w:eastAsia="Consolas" w:hAnsi="Consolas"/>
          <w:sz w:val="19"/>
          <w:szCs w:val="19"/>
        </w:rPr>
        <w:t xml:space="preserve">carbon_intensity</w:t>
      </w:r>
      <w:r>
        <w:t xml:space="preserve"> is measured in tCO₂e per $1M of revenue, and </w:t>
      </w:r>
      <w:r>
        <w:rPr>
          <w:rFonts w:ascii="Consolas" w:cs="Consolas" w:eastAsia="Consolas" w:hAnsi="Consolas"/>
          <w:sz w:val="19"/>
          <w:szCs w:val="19"/>
        </w:rPr>
        <w:t xml:space="preserve">revenue_base</w:t>
      </w:r>
      <w:r>
        <w:t xml:space="preserve"> is the SBU's revenue in dollars. The critical insight is that the number is a </w:t>
      </w:r>
      <w:r>
        <w:rPr>
          <w:b/>
          <w:bCs/>
        </w:rPr>
        <w:t xml:space="preserve">product of two moving parts</w:t>
      </w:r>
      <w:r>
        <w:t xml:space="preserve"> — how dirty each dollar of revenue is (intensity), and how many dollars there are (revenue). Either one falling pulls total carbon down.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1.2  What moves carbon intensity each round</w:t>
      </w:r>
    </w:p>
    <w:p>
      <w:pPr>
        <w:spacing w:after="140" w:line="276"/>
      </w:pPr>
      <w:r>
        <w:t xml:space="preserve">Intensity is not fixed — several mechanisms nudge it every round. The dominant ones: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700"/>
        <w:gridCol w:w="4260"/>
        <w:gridCol w:w="240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Effect on carbon_intensity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Investment-driven decarbonisation</w:t>
            </w:r>
          </w:p>
        </w:tc>
        <w:tc>
          <w:tcPr>
            <w:tcW w:type="dxa" w:w="42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× (1 − invest×0.10) → up to −5% / round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avg investment ratio ≥ 0.25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Emissions creep (under-investment)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× 1.02 → +2% / round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avg investment ratio &lt; 0.10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Strategy choice — Option A (green tech)</w:t>
            </w:r>
          </w:p>
        </w:tc>
        <w:tc>
          <w:tcPr>
            <w:tcW w:type="dxa" w:w="42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− 3 (absolute)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 pick Option A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Strategy choice — Option C (cost-cutting)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+ 2 (absolute)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 pick Option C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Scenario option deltas</w:t>
            </w:r>
          </w:p>
        </w:tc>
        <w:tc>
          <w:tcPr>
            <w:tcW w:type="dxa" w:w="42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carbon_intensity_delta per option (mostly negative: −1…−15)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committed decision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SBTi baseline trajectory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structural glide-path ≈ −8.22% / year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always (science-based target line)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t xml:space="preserve">Because most decision options are authored with </w:t>
      </w:r>
      <w:r>
        <w:rPr>
          <w:b/>
          <w:bCs/>
        </w:rPr>
        <w:t xml:space="preserve">negative</w:t>
      </w:r>
      <w:r>
        <w:t xml:space="preserve"> carbon deltas and the SBTi line trends down, intensity </w:t>
      </w:r>
      <w:r>
        <w:t xml:space="preserve">ratchets down over the 10 rounds almost regardless of the exact path</w:t>
      </w:r>
      <w:r>
        <w:t xml:space="preserve"> — unless you deliberately starve investment (creep +2%) and pick Option C (+2).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1.3  Why the number almost always falls — and the trap</w:t>
      </w:r>
    </w:p>
    <w:p>
      <w:pPr>
        <w:spacing w:after="140" w:line="276"/>
      </w:pPr>
      <w:r>
        <w:t xml:space="preserve">Both factors in the product usually move down together: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Intensity</w:t>
      </w:r>
      <w:r>
        <w:t xml:space="preserve"> declines through decarbonisation, green choices, and the SBTi glide-path (Section 1.2).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Revenue</w:t>
      </w:r>
      <w:r>
        <w:t xml:space="preserve"> shrinks in a struggling run — under-investment, reputation/SLO collapse, and negative revenue deltas erode the top line. Less revenue mechanically means less absolute carbon, even with no green effort at all.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8"/>
              <w:bottom w:val="none"/>
              <w:right w:val="none"/>
            </w:tcBorders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⚠  The "Fragile Giant" trap</w:t>
            </w:r>
          </w:p>
          <w:p>
            <w:pPr>
              <w:spacing w:after="40"/>
            </w:pPr>
            <w:r>
              <w:t xml:space="preserve">In a contracting company, a falling carbon number can look like sustainability progress when it is really just </w:t>
            </w:r>
            <w:r>
              <w:rPr>
                <w:b/>
                <w:bCs/>
              </w:rPr>
              <w:t xml:space="preserve">decline</w:t>
            </w:r>
            <w:r>
              <w:t xml:space="preserve">. You are emitting less mostly because you are </w:t>
            </w:r>
            <w:r>
              <w:rPr>
                <w:i/>
                <w:iCs/>
              </w:rPr>
              <w:t xml:space="preserve">producing less</w:t>
            </w:r>
            <w:r>
              <w:t xml:space="preserve">, not because you went green.</w:t>
            </w:r>
          </w:p>
          <w:p>
            <w:pPr>
              <w:spacing w:after="40"/>
            </w:pPr>
            <w:r>
              <w:t xml:space="preserve">Rule of thumb: decarbonisation intensity alone drops only ~5%/round. If total carbon is falling much faster than that, your </w:t>
            </w:r>
            <w:r>
              <w:rPr>
                <w:b/>
                <w:bCs/>
              </w:rPr>
              <w:t xml:space="preserve">revenue is collapsing</w:t>
            </w:r>
            <w:r>
              <w:t xml:space="preserve"> — check the Cash and Group Rep columns. A healthy firm cuts </w:t>
            </w:r>
            <w:r>
              <w:rPr>
                <w:i/>
                <w:iCs/>
              </w:rPr>
              <w:t xml:space="preserve">intensity</w:t>
            </w:r>
            <w:r>
              <w:t xml:space="preserve"> while holding or growing revenue.</w:t>
            </w:r>
          </w:p>
        </w:tc>
      </w:tr>
    </w:tbl>
    <w:p>
      <w:pPr>
        <w:spacing w:after="140" w:line="276"/>
      </w:pPr>
      <w:r>
        <w:t xml:space="preserve">Note it is not </w:t>
      </w:r>
      <w:r>
        <w:rPr>
          <w:i/>
          <w:iCs/>
        </w:rPr>
        <w:t xml:space="preserve">forced</w:t>
      </w:r>
      <w:r>
        <w:t xml:space="preserve"> to fall: a team that aggressively grows revenue while picking Option C and starving ESG investment would see intensity creep (+2%/round) against rising revenue, and total carbon could climb. There is also a hard </w:t>
      </w:r>
      <w:r>
        <w:rPr>
          <w:b/>
          <w:bCs/>
        </w:rPr>
        <w:t xml:space="preserve">emissions cap of 5,000 tCO₂e</w:t>
      </w:r>
      <w:r>
        <w:t xml:space="preserve"> — cross it and the engine triggers a carbon black-swan penalty event.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2.  How SBU investment impacts performance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2.1  What the investment is, and where the cash goes</w:t>
      </w:r>
    </w:p>
    <w:p>
      <w:pPr>
        <w:spacing w:after="140" w:line="276"/>
      </w:pPr>
      <w:r>
        <w:t xml:space="preserve">The amount you enter for each SBU each round is </w:t>
      </w:r>
      <w:r>
        <w:rPr>
          <w:rFonts w:ascii="Consolas" w:cs="Consolas" w:eastAsia="Consolas" w:hAnsi="Consolas"/>
          <w:sz w:val="19"/>
          <w:szCs w:val="19"/>
        </w:rPr>
        <w:t xml:space="preserve">capex_allocated</w:t>
      </w:r>
      <w:r>
        <w:t xml:space="preserve"> — real cash directed at that unit's sustainability and resilience. All four SBUs' allocations are summed and drawn from your </w:t>
      </w:r>
      <w:r>
        <w:rPr>
          <w:b/>
          <w:bCs/>
        </w:rPr>
        <w:t xml:space="preserve">Corporate Sustainability Fund (CSF) pool</w:t>
      </w:r>
      <w:r>
        <w:t xml:space="preserve">:</w:t>
      </w:r>
    </w:p>
    <w:p>
      <w:pPr>
        <w:pBdr>
          <w:top w:val="single" w:color="D97706" w:sz="4"/>
          <w:bottom w:val="single" w:color="D97706" w:sz="4"/>
        </w:pBdr>
        <w:shd w:fill="F8FAFC" w:color="auto" w:val="clear"/>
        <w:spacing w:after="140" w:before="80"/>
        <w:jc w:val="center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CSF pool  =  max( corporate_treasury × 20% ,  $5,000,000 )</w:t>
      </w:r>
    </w:p>
    <w:p>
      <w:pPr>
        <w:spacing w:after="140" w:line="276"/>
      </w:pPr>
      <w:r>
        <w:t xml:space="preserve">If your total request exceeds the pool, the overflow is </w:t>
      </w:r>
      <w:r>
        <w:rPr>
          <w:b/>
          <w:bCs/>
        </w:rPr>
        <w:t xml:space="preserve">borrowed as a loan at interest</w:t>
      </w:r>
      <w:r>
        <w:t xml:space="preserve"> — so over-investing carries a financing cost. The server then converts each SBU's spend into an </w:t>
      </w:r>
      <w:r>
        <w:rPr>
          <w:b/>
          <w:bCs/>
        </w:rPr>
        <w:t xml:space="preserve">investment ratio</w:t>
      </w:r>
      <w:r>
        <w:t xml:space="preserve"> — the fraction of the pool you pointed at that unit:</w:t>
      </w:r>
    </w:p>
    <w:p>
      <w:pPr>
        <w:pBdr>
          <w:top w:val="single" w:color="D97706" w:sz="4"/>
          <w:bottom w:val="single" w:color="D97706" w:sz="4"/>
        </w:pBdr>
        <w:shd w:fill="F8FAFC" w:color="auto" w:val="clear"/>
        <w:spacing w:after="140" w:before="80"/>
        <w:jc w:val="center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investment_ratio (per SBU)  =  capex_allocated ÷ CSF pool     (clamped 0–1)</w:t>
      </w:r>
    </w:p>
    <w:p>
      <w:pPr>
        <w:spacing w:after="140" w:line="276"/>
      </w:pPr>
      <w:r>
        <w:t xml:space="preserve">This ratio — not the raw dollar figure — is what the engine reacts to, and it is always derived from real spend (you cannot enter a high ratio while spending nothing).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2.2  What the ratio does — the three investment bands</w:t>
      </w:r>
    </w:p>
    <w:p>
      <w:pPr>
        <w:spacing w:after="140" w:line="276"/>
      </w:pPr>
      <w:r>
        <w:t xml:space="preserve">Each SBU's ratio lands it in one of three bands, driving its social license (SLO), reputation and carbon: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Investment ratio</w:t>
            </w:r>
          </w:p>
        </w:tc>
        <w:tc>
          <w:tcPr>
            <w:tcW w:type="dxa" w:w="35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Social license &amp; reputation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Carbon intensity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47857"/>
                <w:sz w:val="19"/>
                <w:szCs w:val="19"/>
              </w:rPr>
              <w:t xml:space="preserve">≥ 0.30</w:t>
            </w:r>
          </w:p>
        </w:tc>
        <w:tc>
          <w:tcPr>
            <w:tcW w:type="dxa" w:w="3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SLO GROWS +3 to +10 / round; reputation stable</w:t>
            </w:r>
          </w:p>
        </w:tc>
        <w:tc>
          <w:tcPr>
            <w:tcW w:type="dxa" w:w="3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decarbonises ~5%/round (if ≥ 0.25)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0.15 – 0.30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Treading water — no decay, no growth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investment-driven change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&lt; 0.15</w:t>
            </w:r>
          </w:p>
        </w:tc>
        <w:tc>
          <w:tcPr>
            <w:tcW w:type="dxa" w:w="3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Neglect: SLO &amp; reputation decay ~4% / round</w:t>
            </w:r>
          </w:p>
        </w:tc>
        <w:tc>
          <w:tcPr>
            <w:tcW w:type="dxa" w:w="3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creeps up +2%/round (if &lt; 0.10)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2.3  Relative share also matters — three concentration traps</w:t>
      </w:r>
    </w:p>
    <w:p>
      <w:pPr>
        <w:spacing w:after="140" w:line="276"/>
      </w:pPr>
      <w:r>
        <w:t xml:space="preserve">Beyond each SBU's own band, the engine compares SBUs against one another. Balance is rewarded; both starvation and over-fixation are punished: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Talent poaching (F13). </w:t>
      </w:r>
      <w:r>
        <w:t xml:space="preserve">An SBU receiving less than a </w:t>
      </w:r>
      <w:r>
        <w:rPr>
          <w:b/>
          <w:bCs/>
        </w:rPr>
        <w:t xml:space="preserve">15% share</w:t>
      </w:r>
      <w:r>
        <w:t xml:space="preserve"> of total capex takes a </w:t>
      </w:r>
      <w:r>
        <w:rPr>
          <w:b/>
          <w:bCs/>
        </w:rPr>
        <w:t xml:space="preserve">+2% OPEX surcharge</w:t>
      </w:r>
      <w:r>
        <w:t xml:space="preserve"> — staff leak to better-funded units.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Technology lock-in (F15). </w:t>
      </w:r>
      <w:r>
        <w:t xml:space="preserve">If the </w:t>
      </w:r>
      <w:r>
        <w:rPr>
          <w:i/>
          <w:iCs/>
        </w:rPr>
        <w:t xml:space="preserve">same</w:t>
      </w:r>
      <w:r>
        <w:t xml:space="preserve"> SBU is the top-funded unit for </w:t>
      </w:r>
      <w:r>
        <w:rPr>
          <w:b/>
          <w:bCs/>
        </w:rPr>
        <w:t xml:space="preserve">3 consecutive rounds</w:t>
      </w:r>
      <w:r>
        <w:t xml:space="preserve">, the </w:t>
      </w:r>
      <w:r>
        <w:rPr>
          <w:i/>
          <w:iCs/>
        </w:rPr>
        <w:t xml:space="preserve">other</w:t>
      </w:r>
      <w:r>
        <w:t xml:space="preserve"> SBUs lose ~15% synergy efficiency — over-concentration penalty.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Technical debt (F4). </w:t>
      </w:r>
      <w:r>
        <w:t xml:space="preserve">An SBU left at </w:t>
      </w:r>
      <w:r>
        <w:rPr>
          <w:b/>
          <w:bCs/>
        </w:rPr>
        <w:t xml:space="preserve">zero</w:t>
      </w:r>
      <w:r>
        <w:t xml:space="preserve"> investment for a streak of rounds accrues a </w:t>
      </w:r>
      <w:r>
        <w:rPr>
          <w:b/>
          <w:bCs/>
        </w:rPr>
        <w:t xml:space="preserve">+4% OPEX penalty</w:t>
      </w:r>
      <w:r>
        <w:t xml:space="preserve"> from deferred maintenance.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47857" w:sz="18"/>
              <w:bottom w:val="none"/>
              <w:right w:val="none"/>
            </w:tcBorders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Key distinction: this is ESG investment, not growth capex</w:t>
            </w:r>
          </w:p>
          <w:p>
            <w:pPr>
              <w:spacing w:after="40"/>
            </w:pPr>
            <w:r>
              <w:t xml:space="preserve">Investing in an SBU does </w:t>
            </w:r>
            <w:r>
              <w:rPr>
                <w:b/>
                <w:bCs/>
              </w:rPr>
              <w:t xml:space="preserve">not</w:t>
            </w:r>
            <w:r>
              <w:t xml:space="preserve"> directly grow that SBU's revenue — there is no capex→revenue multiplier. Investment buys </w:t>
            </w:r>
            <w:r>
              <w:rPr>
                <w:i/>
                <w:iCs/>
              </w:rPr>
              <w:t xml:space="preserve">social license, reputation, decarbonisation, and protection from cost penalties</w:t>
            </w:r>
            <w:r>
              <w:t xml:space="preserve">. Top-line growth comes from your strategy </w:t>
            </w:r>
            <w:r>
              <w:rPr>
                <w:b/>
                <w:bCs/>
              </w:rPr>
              <w:t xml:space="preserve">choices</w:t>
            </w:r>
            <w:r>
              <w:t xml:space="preserve"> (Option A/B/C revenue deltas), projects and crises — not from the allocation sliders.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3.  Worked example — Round 3</w:t>
      </w:r>
    </w:p>
    <w:p>
      <w:pPr>
        <w:spacing w:after="140" w:line="276"/>
      </w:pPr>
      <w:r>
        <w:t xml:space="preserve">Suppose at Round 3 your cash is </w:t>
      </w:r>
      <w:r>
        <w:rPr>
          <w:b/>
          <w:bCs/>
        </w:rPr>
        <w:t xml:space="preserve">$56.64M</w:t>
      </w:r>
      <w:r>
        <w:t xml:space="preserve"> (as on the sample scorecard). Then:</w:t>
      </w:r>
    </w:p>
    <w:p>
      <w:pPr>
        <w:pBdr>
          <w:top w:val="single" w:color="D97706" w:sz="4"/>
          <w:bottom w:val="single" w:color="D97706" w:sz="4"/>
        </w:pBdr>
        <w:shd w:fill="F8FAFC" w:color="auto" w:val="clear"/>
        <w:spacing w:after="140" w:before="80"/>
        <w:jc w:val="center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CSF pool  =  max( 56.64M × 20% , 5M )  =  max( 11.33M , 5M )  =  $11.33M</w:t>
      </w:r>
    </w:p>
    <w:p>
      <w:pPr>
        <w:spacing w:after="140" w:line="276"/>
      </w:pPr>
      <w:r>
        <w:t xml:space="preserve">You split the pool across the four SBUs as follows. The engine computes each unit's ratio as </w:t>
      </w:r>
      <w:r>
        <w:rPr>
          <w:rFonts w:ascii="Consolas" w:cs="Consolas" w:eastAsia="Consolas" w:hAnsi="Consolas"/>
          <w:sz w:val="19"/>
          <w:szCs w:val="19"/>
        </w:rPr>
        <w:t xml:space="preserve">capex ÷ 11.33M</w:t>
      </w:r>
      <w:r>
        <w:t xml:space="preserve"> and applies the band from Section 2.2: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SBU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Capex</w:t>
            </w:r>
          </w:p>
        </w:tc>
        <w:tc>
          <w:tcPr>
            <w:tcW w:type="dxa" w:w="1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40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Band → effect this round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Pharma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$4.0M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47857"/>
                <w:sz w:val="19"/>
                <w:szCs w:val="19"/>
              </w:rPr>
              <w:t xml:space="preserve">0.35</w:t>
            </w:r>
          </w:p>
        </w:tc>
        <w:tc>
          <w:tcPr>
            <w:tcW w:type="dxa" w:w="4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≥0.30 → SLO +3.5, carbon −5%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$4.0M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47857"/>
                <w:sz w:val="19"/>
                <w:szCs w:val="19"/>
              </w:rPr>
              <w:t xml:space="preserve">0.35</w:t>
            </w:r>
          </w:p>
        </w:tc>
        <w:tc>
          <w:tcPr>
            <w:tcW w:type="dxa" w:w="4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≥0.30 → SLO +3.5, carbon −5%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Consumer Goods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$2.0M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0.18</w:t>
            </w:r>
          </w:p>
        </w:tc>
        <w:tc>
          <w:tcPr>
            <w:tcW w:type="dxa" w:w="4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0.15–0.30 → treading water (no change)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Software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$1.0M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0.09</w:t>
            </w:r>
          </w:p>
        </w:tc>
        <w:tc>
          <w:tcPr>
            <w:tcW w:type="dxa" w:w="4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&lt;0.15 → SLO/rep −4%, carbon +2%, +2% OPEX (talent poaching: 9% share)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t xml:space="preserve">Total = </w:t>
      </w:r>
      <w:r>
        <w:rPr>
          <w:b/>
          <w:bCs/>
        </w:rPr>
        <w:t xml:space="preserve">$11.0M</w:t>
      </w:r>
      <w:r>
        <w:t xml:space="preserve">, just under the $11.33M pool, so </w:t>
      </w:r>
      <w:r>
        <w:rPr>
          <w:i/>
          <w:iCs/>
        </w:rPr>
        <w:t xml:space="preserve">no loan</w:t>
      </w:r>
      <w:r>
        <w:t xml:space="preserve"> is needed.</w:t>
      </w:r>
    </w:p>
    <w:p>
      <w:pPr>
        <w:spacing w:after="140" w:line="276"/>
      </w:pPr>
      <w:r>
        <w:t xml:space="preserve">The story this produces: </w:t>
      </w:r>
      <w:r>
        <w:rPr>
          <w:b/>
          <w:bCs/>
          <w:color w:val="047857"/>
        </w:rPr>
        <w:t xml:space="preserve">Pharma and Electronics visibly strengthen</w:t>
      </w:r>
      <w:r>
        <w:t xml:space="preserve"> — happier communities (rising SLO) and falling emissions. </w:t>
      </w:r>
      <w:r>
        <w:t xml:space="preserve">Consumer Goods just holds. </w:t>
      </w:r>
      <w:r>
        <w:rPr>
          <w:b/>
          <w:bCs/>
          <w:color w:val="B91C1C"/>
        </w:rPr>
        <w:t xml:space="preserve">Software becomes your fragile link</w:t>
      </w:r>
      <w:r>
        <w:t xml:space="preserve"> — under-funding erodes its social license, quietly raises its costs (talent-poaching surcharge), and lets its emissions drift up while the others improve. Repeat for a few rounds and Software's decay drags the </w:t>
      </w:r>
      <w:r>
        <w:rPr>
          <w:i/>
          <w:iCs/>
        </w:rPr>
        <w:t xml:space="preserve">group</w:t>
      </w:r>
      <w:r>
        <w:t xml:space="preserve"> reputation via contagion, while its rising OPEX eats cash.</w:t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3.1  Two failure modes to contrast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 engine does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Starve everything (all ratios &lt; 0.15)</w:t>
            </w:r>
          </w:p>
        </w:tc>
        <w:tc>
          <w:tcPr>
            <w:tcW w:type="dxa" w:w="6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Every SBU sits in the neglect band → SLO and reputation decay group-wide each round. This is the reputation/SLO collapse seen in the "Fragile Giant" run (SLO ~54 → ~20s, rep cratering mid-game).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Over-concentrate (all cash into one SBU)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The funded SBU clears 0.30, but the other three fall into neglect AND — after 3 rounds as top unit — trigger the technology lock-in synergy penalty across the group.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47857"/>
                <w:sz w:val="19"/>
                <w:szCs w:val="19"/>
              </w:rPr>
              <w:t xml:space="preserve">Balanced, sustained ≥ 0.15–0.30 across all</w:t>
            </w:r>
          </w:p>
        </w:tc>
        <w:tc>
          <w:tcPr>
            <w:tcW w:type="dxa" w:w="6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No neglect penalties, steady SLO/reputation, gradual decarbonisation, no lock-in. The design rewards starving nothing and over-fixating on nothing.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b/>
          <w:bCs/>
          <w:color w:val="D97706"/>
          <w:sz w:val="25"/>
          <w:szCs w:val="25"/>
        </w:rPr>
        <w:t xml:space="preserve">3.2  Edge case — a distressed company (low or negative treasury)</w:t>
      </w:r>
    </w:p>
    <w:p>
      <w:pPr>
        <w:spacing w:after="140" w:line="276"/>
      </w:pPr>
      <w:r>
        <w:t xml:space="preserve">A subtle but important case: when treasury falls, the </w:t>
      </w:r>
      <w:r>
        <w:rPr>
          <w:b/>
          <w:bCs/>
        </w:rPr>
        <w:t xml:space="preserve">ratio pool clamps to its $5M floor</w:t>
      </w:r>
      <w:r>
        <w:t xml:space="preserve">, so a fairly modest dollar amount can still produce a high investment ratio — and the full ESG rewards that come with it. The catch is that the </w:t>
      </w:r>
      <w:r>
        <w:rPr>
          <w:b/>
          <w:bCs/>
        </w:rPr>
        <w:t xml:space="preserve">ratio and the cash cost are computed off two different pools</w:t>
      </w:r>
      <w:r>
        <w:t xml:space="preserve">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Healthy (treasury $50M)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Distressed (treasury $5M)</w:t>
            </w:r>
          </w:p>
        </w:tc>
      </w:tr>
      <w:tr>
        <w:tc>
          <w:tcPr>
            <w:tcW w:type="dxa" w:w="3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Ratio pool = max(T×20%, $5M)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$10.0M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$5.0M (floored)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Free-cash allowance = T×20% (no floor)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$10.0M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$1.0M</w:t>
            </w:r>
          </w:p>
        </w:tc>
      </w:tr>
      <w:tr>
        <w:tc>
          <w:tcPr>
            <w:tcW w:type="dxa" w:w="3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Spend $1.5M in one SBU → ratio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0.15 → neglect band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0.30 → SLO grows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…of that $1.5M, borrowed at interest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47857"/>
                <w:sz w:val="19"/>
                <w:szCs w:val="19"/>
              </w:rPr>
              <w:t xml:space="preserve">$0 (within free cash)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$0.5M (over the $1M free)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t xml:space="preserve">So the same $1.5M </w:t>
      </w:r>
      <w:r>
        <w:rPr>
          <w:b/>
          <w:bCs/>
        </w:rPr>
        <w:t xml:space="preserve">buys a much better ratio when you are poor</w:t>
      </w:r>
      <w:r>
        <w:t xml:space="preserve"> (the floor is a deliberate lifeline — its code comment says it “ensures teams can make meaningful ESG investments even under liquidity stress”), </w:t>
      </w:r>
      <w:r>
        <w:rPr>
          <w:b/>
          <w:bCs/>
        </w:rPr>
        <w:t xml:space="preserve">but that same spend is now largely debt-financed</w:t>
      </w:r>
      <w:r>
        <w:t xml:space="preserve">, because the free-cash allowance shrank with your treasury. High ratio does not mean cheap.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18"/>
              <w:bottom w:val="none"/>
              <w:right w:val="none"/>
            </w:tcBorders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⚠  The CFO Austerity spiral</w:t>
            </w:r>
          </w:p>
          <w:p>
            <w:pPr>
              <w:spacing w:after="40"/>
            </w:pPr>
            <w:r>
              <w:t xml:space="preserve">If the round ends with </w:t>
            </w:r>
            <w:r>
              <w:rPr>
                <w:b/>
                <w:bCs/>
              </w:rPr>
              <w:t xml:space="preserve">negative treasury</w:t>
            </w:r>
            <w:r>
              <w:t xml:space="preserve">, OR your </w:t>
            </w:r>
            <w:r>
              <w:rPr>
                <w:b/>
                <w:bCs/>
              </w:rPr>
              <w:t xml:space="preserve">loan exceeds 50% of treasury</w:t>
            </w:r>
            <w:r>
              <w:t xml:space="preserve">, the engine flips on </w:t>
            </w:r>
            <w:r>
              <w:rPr>
                <w:b/>
                <w:bCs/>
              </w:rPr>
              <w:t xml:space="preserve">CFO Austerity</w:t>
            </w:r>
            <w:r>
              <w:t xml:space="preserve"> — which </w:t>
            </w:r>
            <w:r>
              <w:rPr>
                <w:b/>
                <w:bCs/>
                <w:color w:val="B91C1C"/>
              </w:rPr>
              <w:t xml:space="preserve">forces investment_ratio = 0 and capex = 0 for EVERY SBU next round.</w:t>
            </w:r>
          </w:p>
          <w:p>
            <w:pPr>
              <w:spacing w:after="40"/>
            </w:pPr>
            <w:r>
              <w:t xml:space="preserve">That instantly drops all four SBUs into the neglect band → group-wide SLO and reputation decay. So borrowing to fund high ratios can </w:t>
            </w:r>
            <w:r>
              <w:rPr>
                <w:i/>
                <w:iCs/>
              </w:rPr>
              <w:t xml:space="preserve">zero out those ratios the very next round</w:t>
            </w:r>
            <w:r>
              <w:t xml:space="preserve"> — the lifeline becomes a spiral.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The ratio-blind penalties still apply. </w:t>
      </w:r>
      <w:r>
        <w:t xml:space="preserve">Talent poaching (share of total capex) and technical debt (zero-investment streaks) ignore the ratio, so you still cannot starve any SBU.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You cannot game it to near-zero. </w:t>
      </w:r>
      <w:r>
        <w:t xml:space="preserve">Because the ratio pool is floored at $5M, a 0.30 ratio always needs ≥ $1.5M per SBU — “low absolute” is low relative to a rich firm, never trivial (the exploit the server-side recompute closes).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Design note. </w:t>
      </w:r>
      <w:r>
        <w:t xml:space="preserve">The ratio pool (floored at $5M) and the financing allowance (un-floored 20% of treasury) diverge — the ESG “credit” and the cash “cost” of the same dollar use different denominators. It plays as the intended tension, but it is an asymmetry rather than one clean pool.</w:t>
      </w:r>
    </w:p>
    <w:p>
      <w:pPr>
        <w:spacing w:after="140" w:line="276"/>
      </w:pPr>
      <w:r>
        <w:rPr>
          <w:b/>
          <w:bCs/>
        </w:rPr>
        <w:t xml:space="preserve">Practical rule for a struggling team: </w:t>
      </w:r>
      <w:r>
        <w:t xml:space="preserve">spend just enough to lift the SBUs that matter into the 0.15–0.30 band and stop the reputation contagion, </w:t>
      </w:r>
      <w:r>
        <w:rPr>
          <w:b/>
          <w:bCs/>
        </w:rPr>
        <w:t xml:space="preserve">but keep total spend under the austerity thresholds</w:t>
      </w:r>
      <w:r>
        <w:t xml:space="preserve"> — do not go cash-negative, and do not let the loan exceed half of treasury — or the CFO freezes your budget next round and undoes it all.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4.  Decision heuristics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Keep every SBU at a ≥ 0.15 share to avoid the neglect band and the talent-poaching surcharge; push your priority SBUs to ≥ 0.30 to actively grow social license.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Rotate which SBU is top-funded so no unit is #1 for 3 rounds running (avoids technology lock-in).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Because OPEX rises with inflation each round, a zero-investment SBU decays in real terms — you must invest just to tread water.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Read a falling Carbon (T) alongside Cash and Group Rep: genuine progress cuts intensity while holding revenue; a collapse cuts carbon by shrinking the business.</w:t>
      </w:r>
    </w:p>
    <w:p>
      <w:pPr>
        <w:spacing w:after="160"/>
      </w:pPr>
    </w:p>
    <w:p>
      <w:pPr>
        <w:pBdr>
          <w:top w:val="single" w:color="CBD5E1" w:sz="4"/>
        </w:pBdr>
        <w:spacing w:before="120"/>
        <w:jc w:val="center"/>
      </w:pPr>
      <w:r>
        <w:rPr>
          <w:i/>
          <w:iCs/>
          <w:color w:val="6B7280"/>
          <w:sz w:val="15"/>
          <w:szCs w:val="15"/>
        </w:rPr>
        <w:t xml:space="preserve">Muressons Global Corporation — mechanics reference. Formulas and constants sourced from the simulation engine (engine.py, round_configs.py, config.py).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2026-07-12T00:12:41.652Z</dcterms:created>
  <dcterms:modified xsi:type="dcterms:W3CDTF">2026-07-12T00:12:41.652Z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