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540"/>
          <w:sz w:val="52"/>
        </w:rPr>
        <w:t>The Muressons Stakeholder Module</w:t>
      </w:r>
    </w:p>
    <w:p>
      <w:pPr>
        <w:jc w:val="center"/>
      </w:pPr>
      <w:r>
        <w:rPr>
          <w:i/>
          <w:color w:val="555555"/>
          <w:sz w:val="26"/>
        </w:rPr>
        <w:t>Comprehensive Reference — architecture, archetypes, and decision flow</w:t>
      </w:r>
    </w:p>
    <w:p>
      <w:pPr>
        <w:jc w:val="center"/>
      </w:pPr>
      <w:r>
        <w:rPr>
          <w:color w:val="555555"/>
          <w:sz w:val="20"/>
        </w:rPr>
        <w:t>Business &amp; Sustainability simulation · stakeholder ↔ Social-License-to-Operate (SLO) system</w:t>
      </w:r>
    </w:p>
    <w:p/>
    <w:p>
      <w:pPr>
        <w:pStyle w:val="Heading1"/>
      </w:pPr>
      <w:r>
        <w:rPr>
          <w:color w:val="0F2540"/>
        </w:rPr>
        <w:t>Contents</w:t>
      </w:r>
    </w:p>
    <w:p>
      <w:r>
        <w:fldChar w:fldCharType="begin"/>
        <w:instrText xml:space="preserve">TOC \o "1-2" \h \z \u</w:instrText>
        <w:fldChar w:fldCharType="separate"/>
        <w:t>Open in Word and 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rPr>
          <w:color w:val="0F2540"/>
        </w:rPr>
        <w:t>Part I — Conceptual Overview</w:t>
      </w:r>
    </w:p>
    <w:p>
      <w:pPr>
        <w:spacing w:after="120"/>
      </w:pPr>
      <w:r>
        <w:rPr>
          <w:i/>
        </w:rPr>
        <w:t>This part is written for facilitators and designers: what the stakeholder module represents, who the stakeholders are, and how the system behaves. Part II goes to code level for engineers.</w:t>
      </w:r>
    </w:p>
    <w:p>
      <w:pPr>
        <w:pStyle w:val="Heading2"/>
      </w:pPr>
      <w:r>
        <w:rPr>
          <w:color w:val="0F2540"/>
        </w:rPr>
        <w:t>1. Purpose: why the module exists</w:t>
      </w:r>
    </w:p>
    <w:p>
      <w:pPr>
        <w:spacing w:after="120"/>
      </w:pPr>
      <w:r>
        <w:rPr>
          <w:i w:val="0"/>
        </w:rPr>
        <w:t>Muressons is a conglomerate-management simulation in which players run four business units across ten six-month rounds. Financial success alone is not the point — the pedagogical goal is that players learn to manage a company's Social Licence to Operate (SLO): the ongoing acceptance a business earns from the communities, regulators, investors and media around it. The stakeholder module is the engine that makes that licence feel earned rather than scored.</w:t>
      </w:r>
    </w:p>
    <w:p>
      <w:pPr>
        <w:spacing w:after="120"/>
      </w:pPr>
      <w:r>
        <w:rPr>
          <w:i w:val="0"/>
        </w:rPr>
        <w:t>It turns a set of numbers into relationships with history and stakes. Stakeholders remember how they were treated, escalate when neglected, form coalitions, hold the company to its promises, and — when pushed far enough — strike, sue, divest, or expose. SLO sits at the centre as the hinge between what players decide and how the world reacts.</w:t>
      </w:r>
    </w:p>
    <w:p>
      <w:pPr>
        <w:pStyle w:val="Heading2"/>
      </w:pPr>
      <w:r>
        <w:rPr>
          <w:color w:val="0F2540"/>
        </w:rPr>
        <w:t>2. The core idea in one loop</w:t>
      </w:r>
    </w:p>
    <w:p>
      <w:pPr>
        <w:spacing w:after="120"/>
      </w:pPr>
      <w:r>
        <w:rPr>
          <w:i w:val="0"/>
        </w:rPr>
        <w:t>Everything in the module is one reinforcing loop. Player decisions move SLO; SLO decides how each stakeholder feels; feeling becomes escalation and action; those actions hit revenue, reputation, treasury and SLO itself — which constrains the next round of decisions. Neglect compounds, and 'stakeholder fatigue' makes each recovery harder than the last.</w:t>
      </w:r>
    </w:p>
    <w:p>
      <w:r>
        <w:drawing>
          <wp:inline xmlns:a="http://schemas.openxmlformats.org/drawingml/2006/main" xmlns:pic="http://schemas.openxmlformats.org/drawingml/2006/picture">
            <wp:extent cx="6035040" cy="387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7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1 — The stakeholder feedback loop. SLO is the hinge; F1–F6 label the behaviour waves.</w:t>
      </w:r>
    </w:p>
    <w:p>
      <w:pPr>
        <w:pStyle w:val="Heading2"/>
      </w:pPr>
      <w:r>
        <w:rPr>
          <w:color w:val="0F2540"/>
        </w:rPr>
        <w:t>3. The four stakeholder archetypes</w:t>
      </w:r>
    </w:p>
    <w:p>
      <w:pPr>
        <w:spacing w:after="120"/>
      </w:pPr>
      <w:r>
        <w:rPr>
          <w:i w:val="0"/>
        </w:rPr>
        <w:t>Four named non-player characters (NPCs) personify the stakeholder landscape. Each is modelled on the Mitchell, Agle &amp; Wood (1997) salience framework — the mix of power (can they hurt you?), legitimacy (is their claim seen as valid?) and urgency (how fast do they demand a response?). Each cares about different things, escalates through its own four-rung ladder, and has a distinct breaking-point action.</w:t>
      </w:r>
    </w:p>
    <w:p>
      <w:pPr>
        <w:pStyle w:val="Heading3"/>
      </w:pPr>
      <w:r>
        <w:rPr>
          <w:color w:val="0F2540"/>
        </w:rPr>
        <w:t>3.1  The Activist Investor — Elise Thornton</w:t>
      </w:r>
    </w:p>
    <w:p>
      <w:pPr>
        <w:spacing w:after="40"/>
      </w:pPr>
      <w:r>
        <w:rPr>
          <w:i/>
        </w:rPr>
        <w:t>FutureFirst Activist Fund · assertive · 🦅</w:t>
      </w:r>
    </w:p>
    <w:p>
      <w:pPr>
        <w:pStyle w:val="ListBullet"/>
      </w:pPr>
      <w:r>
        <w:rPr>
          <w:b/>
        </w:rPr>
        <w:t xml:space="preserve">Leverage (salience): </w:t>
      </w:r>
      <w:r>
        <w:t>high power, high urgency, moderate legitimacy</w:t>
      </w:r>
    </w:p>
    <w:p>
      <w:pPr>
        <w:pStyle w:val="ListBullet"/>
      </w:pPr>
      <w:r>
        <w:rPr>
          <w:b/>
        </w:rPr>
        <w:t xml:space="preserve">What moves them: </w:t>
      </w:r>
      <w:r>
        <w:t>Climate disclosure, board diversity, stranded assets. Rewards rising reputation, ESG-linked pay and low carbon; punished by governance risk.</w:t>
      </w:r>
    </w:p>
    <w:p>
      <w:pPr>
        <w:pStyle w:val="ListBullet"/>
      </w:pPr>
      <w:r>
        <w:rPr>
          <w:b/>
        </w:rPr>
        <w:t xml:space="preserve">Escalation ladder: </w:t>
      </w:r>
      <w:r>
        <w:t>Supportive → Concerned letter to the board → Public campaign → Proxy fight / AGM challenge.</w:t>
      </w:r>
    </w:p>
    <w:p>
      <w:pPr>
        <w:pStyle w:val="ListBullet"/>
      </w:pPr>
      <w:r>
        <w:rPr>
          <w:b/>
        </w:rPr>
        <w:t xml:space="preserve">At breaking point: </w:t>
      </w:r>
      <w:r>
        <w:t>At breaking point launches a divestment campaign (share price −5%, reputation −8, drags the media in) or a proxy fight (−$2M AGM cost, but governance actually improves and the regulator starts watching).</w:t>
      </w:r>
    </w:p>
    <w:p>
      <w:r>
        <w:rPr>
          <w:i/>
          <w:color w:val="534AB7"/>
        </w:rPr>
        <w:t>“We’ve been patient, but your governance shortfall is becoming a liability.”</w:t>
      </w:r>
    </w:p>
    <w:p>
      <w:pPr>
        <w:pStyle w:val="Heading3"/>
      </w:pPr>
      <w:r>
        <w:rPr>
          <w:color w:val="0F2540"/>
        </w:rPr>
        <w:t>3.2  The Regulator — Commissioner Sofia Petrova</w:t>
      </w:r>
    </w:p>
    <w:p>
      <w:pPr>
        <w:spacing w:after="40"/>
      </w:pPr>
      <w:r>
        <w:rPr>
          <w:i/>
        </w:rPr>
        <w:t>EU DG FISMA, Corporate Sustainability Division · methodical · 🏛️</w:t>
      </w:r>
    </w:p>
    <w:p>
      <w:pPr>
        <w:pStyle w:val="ListBullet"/>
      </w:pPr>
      <w:r>
        <w:rPr>
          <w:b/>
        </w:rPr>
        <w:t xml:space="preserve">Leverage (salience): </w:t>
      </w:r>
      <w:r>
        <w:t>very high power and legitimacy, lower urgency (slow but decisive)</w:t>
      </w:r>
    </w:p>
    <w:p>
      <w:pPr>
        <w:pStyle w:val="ListBullet"/>
      </w:pPr>
      <w:r>
        <w:rPr>
          <w:b/>
        </w:rPr>
        <w:t xml:space="preserve">What moves them: </w:t>
      </w:r>
      <w:r>
        <w:t>CSRD compliance, taxonomy alignment, audit quality. Rewards low governance risk and strong disclosure.</w:t>
      </w:r>
    </w:p>
    <w:p>
      <w:pPr>
        <w:pStyle w:val="ListBullet"/>
      </w:pPr>
      <w:r>
        <w:rPr>
          <w:b/>
        </w:rPr>
        <w:t xml:space="preserve">Escalation ladder: </w:t>
      </w:r>
      <w:r>
        <w:t>Compliant (no action) → Enhanced monitoring → Formal investigation → Enforcement action / fine.</w:t>
      </w:r>
    </w:p>
    <w:p>
      <w:pPr>
        <w:pStyle w:val="ListBullet"/>
      </w:pPr>
      <w:r>
        <w:rPr>
          <w:b/>
        </w:rPr>
        <w:t xml:space="preserve">At breaking point: </w:t>
      </w:r>
      <w:r>
        <w:t>At breaking point issues an enforcement action: a fine worth ~4% of revenue plus mandatory enhanced disclosure, and pulls both the media and activist investor in behind it.</w:t>
      </w:r>
    </w:p>
    <w:p>
      <w:r>
        <w:rPr>
          <w:i/>
          <w:color w:val="534AB7"/>
        </w:rPr>
        <w:t>“Persistent non-compliance is not acceptable.”</w:t>
      </w:r>
    </w:p>
    <w:p>
      <w:pPr>
        <w:pStyle w:val="Heading3"/>
      </w:pPr>
      <w:r>
        <w:rPr>
          <w:color w:val="0F2540"/>
        </w:rPr>
        <w:t>3.3  The Community Leader — Rajesh Patil</w:t>
      </w:r>
    </w:p>
    <w:p>
      <w:pPr>
        <w:spacing w:after="40"/>
      </w:pPr>
      <w:r>
        <w:rPr>
          <w:i/>
        </w:rPr>
        <w:t>Head Panchayat, Deccan Plateau District Council · passionate · 🏘️</w:t>
      </w:r>
    </w:p>
    <w:p>
      <w:pPr>
        <w:pStyle w:val="ListBullet"/>
      </w:pPr>
      <w:r>
        <w:rPr>
          <w:b/>
        </w:rPr>
        <w:t xml:space="preserve">Leverage (salience): </w:t>
      </w:r>
      <w:r>
        <w:t>high legitimacy, low power — pressure builds slowly but is morally weighty</w:t>
      </w:r>
    </w:p>
    <w:p>
      <w:pPr>
        <w:pStyle w:val="ListBullet"/>
      </w:pPr>
      <w:r>
        <w:rPr>
          <w:b/>
        </w:rPr>
        <w:t xml:space="preserve">What moves them: </w:t>
      </w:r>
      <w:r>
        <w:t>Water rights, employment, environmental justice. Rewards social licence, water stewardship and a funded just-transition; punished by water stress.</w:t>
      </w:r>
    </w:p>
    <w:p>
      <w:pPr>
        <w:pStyle w:val="ListBullet"/>
      </w:pPr>
      <w:r>
        <w:rPr>
          <w:b/>
        </w:rPr>
        <w:t xml:space="preserve">Escalation ladder: </w:t>
      </w:r>
      <w:r>
        <w:t>Community partnership → Community monitoring → Community protest → Legal action / injunction.</w:t>
      </w:r>
    </w:p>
    <w:p>
      <w:pPr>
        <w:pStyle w:val="ListBullet"/>
      </w:pPr>
      <w:r>
        <w:rPr>
          <w:b/>
        </w:rPr>
        <w:t xml:space="preserve">At breaking point: </w:t>
      </w:r>
      <w:r>
        <w:t>At breaking point files a court injunction against facility operations (SLO −10, reputation −5) and the story goes to the press.</w:t>
      </w:r>
    </w:p>
    <w:p>
      <w:r>
        <w:rPr>
          <w:i/>
          <w:color w:val="534AB7"/>
        </w:rPr>
        <w:t>“Our water, our land, our lives! Muressons takes everything and gives nothing.”</w:t>
      </w:r>
    </w:p>
    <w:p>
      <w:pPr>
        <w:pStyle w:val="Heading3"/>
      </w:pPr>
      <w:r>
        <w:rPr>
          <w:color w:val="0F2540"/>
        </w:rPr>
        <w:t>3.4  The Journalist — Jaya Mehta</w:t>
      </w:r>
    </w:p>
    <w:p>
      <w:pPr>
        <w:spacing w:after="40"/>
      </w:pPr>
      <w:r>
        <w:rPr>
          <w:i/>
        </w:rPr>
        <w:t>Senior Investigative Reporter, Deccan Herald Business · curious · 📰</w:t>
      </w:r>
    </w:p>
    <w:p>
      <w:pPr>
        <w:pStyle w:val="ListBullet"/>
      </w:pPr>
      <w:r>
        <w:rPr>
          <w:b/>
        </w:rPr>
        <w:t xml:space="preserve">Leverage (salience): </w:t>
      </w:r>
      <w:r>
        <w:t>moderate across the board — the amplifier rather than the initiator</w:t>
      </w:r>
    </w:p>
    <w:p>
      <w:pPr>
        <w:pStyle w:val="ListBullet"/>
      </w:pPr>
      <w:r>
        <w:rPr>
          <w:b/>
        </w:rPr>
        <w:t xml:space="preserve">What moves them: </w:t>
      </w:r>
      <w:r>
        <w:t>Transparency, greenwashing, worker conditions. Rewards openness and reputation; punished by governance risk.</w:t>
      </w:r>
    </w:p>
    <w:p>
      <w:pPr>
        <w:pStyle w:val="ListBullet"/>
      </w:pPr>
      <w:r>
        <w:rPr>
          <w:b/>
        </w:rPr>
        <w:t xml:space="preserve">Escalation ladder: </w:t>
      </w:r>
      <w:r>
        <w:t>Positive feature story → Balanced coverage → Critical investigation → Viral exposé.</w:t>
      </w:r>
    </w:p>
    <w:p>
      <w:pPr>
        <w:pStyle w:val="ListBullet"/>
      </w:pPr>
      <w:r>
        <w:rPr>
          <w:b/>
        </w:rPr>
        <w:t xml:space="preserve">At breaking point: </w:t>
      </w:r>
      <w:r>
        <w:t>Has no cascade of its own, but is the amplification target other stakeholders’ cascades reach for — a hostile journalist multiplies every other reputational hit and can help tip a coalition into a viral story.</w:t>
      </w:r>
    </w:p>
    <w:p>
      <w:r>
        <w:rPr>
          <w:i/>
          <w:color w:val="534AB7"/>
        </w:rPr>
        <w:t>“Documents reveal systematic failures. Investors are demanding answers.”</w:t>
      </w:r>
    </w:p>
    <w:p>
      <w:pPr>
        <w:spacing w:after="120"/>
      </w:pPr>
      <w:r>
        <w:rPr>
          <w:i/>
        </w:rPr>
        <w:t>A fifth archetype, the Gen-Z Employee, exists in the reaction catalogue (a coordinated mass resignation that spikes burnout +15, OPEX +8% and reputation −5) but does not yet carry a full satisfaction/escalation profile — it is a defined extension point rather than an active named NPC.</w:t>
      </w:r>
    </w:p>
    <w:p>
      <w:pPr>
        <w:pStyle w:val="Heading2"/>
      </w:pPr>
      <w:r>
        <w:rPr>
          <w:color w:val="0F2540"/>
        </w:rPr>
        <w:t>4. The six behaviour waves at a glance</w:t>
      </w:r>
    </w:p>
    <w:p>
      <w:pPr>
        <w:spacing w:after="120"/>
      </w:pPr>
      <w:r>
        <w:rPr>
          <w:i w:val="0"/>
        </w:rPr>
        <w:t>On top of the base archetypes, six optional 'waves' deepen the realism. Each is independently switchable per cohort and ships off by default, so a facilitator can dial the richness up as a class matures.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Wave</w:t>
            </w:r>
          </w:p>
        </w:tc>
        <w:tc>
          <w:tcPr>
            <w:tcW w:type="dxa" w:w="73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What it adds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F1 — Memory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persistent trust stock that rises slowly, falls fast, and scars on betrayal; a sentiment bridge keeps named NPCs consistent with the portfolio view.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F2 — SLO feedback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Each stakeholder's escalation tier continuously nudges the social licence of the units it is attached to — the loop's 'slope' between the discrete 'cliffs'.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F3 — Coalitions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Two or more hostile stakeholders combine into a coalition that amplifies SLO pressure and strike risk; fired reactions nudge their named targets.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F4 — Uncertainty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Escalation thresholds are jittered per cohort (fair but unknown) and a patience clock forces escalation on stakeholders kept waiting.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F5 — Promises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 dialogic verb: town halls, public pledges and private commitments, tracked in a ledger — kept promises pay off, broken ones scar.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F6 — Intel</w:t>
            </w:r>
          </w:p>
        </w:tc>
        <w:tc>
          <w:tcPr>
            <w:tcW w:type="dxa" w:w="7344"/>
          </w:tcPr>
          <w:p>
            <w:r/>
            <w:r>
              <w:rPr>
                <w:sz w:val="18"/>
              </w:rPr>
              <w:t>An intent-forward UI that surfaces what each stakeholder wants, how much leverage they hold, and their trend — numbers move to the facilitator view.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0F2540"/>
        </w:rPr>
        <w:t>Part II — Technical Deep-Dive</w:t>
      </w:r>
    </w:p>
    <w:p>
      <w:pPr>
        <w:spacing w:after="120"/>
      </w:pPr>
      <w:r>
        <w:rPr>
          <w:i/>
        </w:rPr>
        <w:t>This part is written for engineers and system designers: modules, state, the round pipeline, the governing formulas, configuration and safety.</w:t>
      </w:r>
    </w:p>
    <w:p>
      <w:pPr>
        <w:pStyle w:val="Heading2"/>
      </w:pPr>
      <w:r>
        <w:rPr>
          <w:color w:val="0F2540"/>
        </w:rPr>
        <w:t>5. Architecture &amp;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619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npc_stakeholders.py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The four named NPCs: satisfaction, the trust integrator (F1), escalation with jitter/patience (F4), continuous SLO feedback (F2), and the intent intel emitter (F6).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stakeholder_sentiment.py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Portfolio-level sentiment: per-stakeholder attitude_score, flag-driven deltas, black-swan shocks, and salience-weighted scoring.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systemic_risk_engine.py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Discrete reaction cascades (STAKEHOLDER_REACTION_GATES), coalitions &amp; contagion (F3), materiality shocks, and systemic tipping points.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stakeholder_engagement.py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Engagement actions and the promise ledger (F5): apply an action, resolve due promises.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round_logic.py :: run_new_engines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Orchestration and gating — runs each engine in toggle-guarded try/except so no stakeholder engine can ever block a tick.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engine.py :: process_tick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Earlier in the tick: SLO natural decay, pillar deltas, strike probability, sentiment update, and the whitelisted next-round state assembly.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config.py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All tunables (trust rates, SLO coupling, coalition gains, jitter, patience, engagement costs), resolved from the config-Excel pipeline.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F2540"/>
        </w:rPr>
        <w:t>6. State model &amp; persistence</w:t>
      </w:r>
    </w:p>
    <w:p>
      <w:pPr>
        <w:spacing w:after="120"/>
      </w:pPr>
      <w:r>
        <w:rPr>
          <w:i w:val="0"/>
        </w:rPr>
        <w:t>All named-NPC state lives in one sub-dict, global_state["npc_stakeholders"], holding each NPC's profile, satisfaction, trust, escalation level, interaction history, scar window, threshold offsets, and the promise ledger. A key correctness fix underpins the whole module: process_tick rebuilds the next-round state from an explicit whitelist, which historically dropped this sub-dict and re-initialised the NPCs every round. It is now carried forward via a named ENGINE_STATE_KEYS passthrough, so trust, promises and patience actually persist. The sub-dict never surfaces through the typed GlobalStateOut response; per-round UI data flows through the diagnostics channel instead.</w:t>
      </w:r>
    </w:p>
    <w:p>
      <w:pPr>
        <w:pStyle w:val="Heading2"/>
      </w:pPr>
      <w:r>
        <w:rPr>
          <w:color w:val="0F2540"/>
        </w:rPr>
        <w:t>7. Decision flow — order of operations</w:t>
      </w:r>
    </w:p>
    <w:p>
      <w:pPr>
        <w:spacing w:after="120"/>
      </w:pPr>
      <w:r>
        <w:rPr>
          <w:i w:val="0"/>
        </w:rPr>
        <w:t>A single player commit produces a single tick. The stakeholder work happens in a fixed order, chosen so that SLO is finalised for the round's economics before the stakeholder engines read it, and so cascades, coalitions and continuous feedback compose without double-counting.</w:t>
      </w:r>
    </w:p>
    <w:p>
      <w:r>
        <w:drawing>
          <wp:inline xmlns:a="http://schemas.openxmlformats.org/drawingml/2006/main" xmlns:pic="http://schemas.openxmlformats.org/drawingml/2006/picture">
            <wp:extent cx="5120640" cy="645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45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Figure 2 — The round pipeline. Steps 3–8 are the stakeholder engines, each gated and non-fatal.</w:t>
      </w:r>
    </w:p>
    <w:p>
      <w:pPr>
        <w:spacing w:after="120"/>
      </w:pPr>
      <w:r>
        <w:rPr>
          <w:i w:val="0"/>
        </w:rPr>
        <w:t>The double-count guard is the subtle part: continuous SLO feedback (step 5) runs after cascade detection but before cascade effects, and suppresses any NPC that cascades this round — the discrete social-licence delta supersedes the continuous term. The later social-tipping cap still clamps SLO, and is not duplicated.</w:t>
      </w:r>
    </w:p>
    <w:p>
      <w:pPr>
        <w:pStyle w:val="Heading2"/>
      </w:pPr>
      <w:r>
        <w:rPr>
          <w:color w:val="0F2540"/>
        </w:rPr>
        <w:t>8. The governing mechanics</w:t>
      </w:r>
    </w:p>
    <w:p>
      <w:pPr>
        <w:pStyle w:val="Heading3"/>
      </w:pPr>
      <w:r>
        <w:rPr>
          <w:color w:val="0F2540"/>
        </w:rPr>
        <w:t>8.1  Natural decay &amp; satisfaction</w:t>
      </w:r>
    </w:p>
    <w:p>
      <w:pPr>
        <w:spacing w:after="120"/>
      </w:pPr>
      <w:r>
        <w:rPr>
          <w:i w:val="0"/>
        </w:rPr>
        <w:t>Each round, an unattended SLO drifts: investment ratio ≥ 0.30 grows it (+3 to +10), ≥ 0.15 holds it, and below 0.15 it decays by ~4% (×0.96). Satisfaction for each NPC is a weighted sum of its drivers:</w:t>
      </w:r>
    </w:p>
    <w:p>
      <w:pPr>
        <w:spacing w:after="160"/>
      </w:pPr>
      <w:r>
        <w:rPr>
          <w:rFonts w:ascii="Consolas" w:hAnsi="Consolas"/>
          <w:color w:val="1F3A5F"/>
          <w:sz w:val="19"/>
        </w:rPr>
        <w:t>satisfaction = clamp(50 + Σ weight·(value − baseline), 0, 100)</w:t>
      </w:r>
    </w:p>
    <w:p>
      <w:pPr>
        <w:spacing w:after="120"/>
      </w:pPr>
      <w:r>
        <w:rPr>
          <w:i w:val="0"/>
        </w:rPr>
        <w:t>With F1 memory on, satisfaction is blended toward the matching sentiment cohort's attitude_score at bridge_weight 0.30, so the named NPC and the portfolio view cannot drift apart.</w:t>
      </w:r>
    </w:p>
    <w:p>
      <w:pPr>
        <w:pStyle w:val="Heading3"/>
      </w:pPr>
      <w:r>
        <w:rPr>
          <w:color w:val="0F2540"/>
        </w:rPr>
        <w:t>8.2  Trust integrator &amp; scars (F1)</w:t>
      </w:r>
    </w:p>
    <w:p>
      <w:pPr>
        <w:spacing w:after="120"/>
      </w:pPr>
      <w:r>
        <w:rPr>
          <w:i w:val="0"/>
        </w:rPr>
        <w:t>Trust is a stock that integrates satisfaction asymmetrically — slow to earn, fast to lose — and scars on betrayal (a deny-and-deflect or greenwash choice, or a broken promise):</w:t>
      </w:r>
    </w:p>
    <w:p>
      <w:pPr>
        <w:spacing w:after="160"/>
      </w:pPr>
      <w:r>
        <w:rPr>
          <w:rFonts w:ascii="Consolas" w:hAnsi="Consolas"/>
          <w:color w:val="1F3A5F"/>
          <w:sz w:val="19"/>
        </w:rPr>
        <w:t>gap  = satisfaction − trust_prev</w:t>
        <w:br/>
        <w:t>rate = 0.25 if gap ≥ 0 else 0.55</w:t>
        <w:br/>
        <w:t>trust = trust_prev + rate·gap</w:t>
        <w:br/>
        <w:t># betrayal: trust −= 12 ; recovery capped at 60 for 3 rounds</w:t>
      </w:r>
    </w:p>
    <w:p>
      <w:pPr>
        <w:pStyle w:val="Heading3"/>
      </w:pPr>
      <w:r>
        <w:rPr>
          <w:color w:val="0F2540"/>
        </w:rPr>
        <w:t>8.3  Escalation tiers &amp; uncertainty (F4)</w:t>
      </w:r>
    </w:p>
    <w:p>
      <w:pPr>
        <w:spacing w:after="120"/>
      </w:pPr>
      <w:r>
        <w:rPr>
          <w:i w:val="0"/>
        </w:rPr>
        <w:t>Escalation selects the worst tier whose threshold the gating metric clears — trust when memory is on, else satisfaction. With F4, each NPC's four thresholds are jittered ±4, drawn once per cohort from the GAME-4 seed (identical for every team, unknown to all). A patience clock escalates any NPC held at a wary tier for three rounds, regardless of the metric; recovering to the cooperative tier resets it.</w:t>
      </w:r>
    </w:p>
    <w:p>
      <w:pPr>
        <w:pStyle w:val="Heading3"/>
      </w:pPr>
      <w:r>
        <w:rPr>
          <w:color w:val="0F2540"/>
        </w:rPr>
        <w:t>8.4  Continuous SLO feedback (F2)</w:t>
      </w:r>
    </w:p>
    <w:p>
      <w:pPr>
        <w:spacing w:after="120"/>
      </w:pPr>
      <w:r>
        <w:rPr>
          <w:i w:val="0"/>
        </w:rPr>
        <w:t>Each round every non-cascading NPC applies a per-tier nudge to the SLO of the units it is attached to (the community leader → water/agri units; regulator, investor and journalist → all units):</w:t>
      </w:r>
    </w:p>
    <w:p>
      <w:pPr>
        <w:spacing w:after="160"/>
      </w:pPr>
      <w:r>
        <w:rPr>
          <w:rFonts w:ascii="Consolas" w:hAnsi="Consolas"/>
          <w:color w:val="1F3A5F"/>
          <w:sz w:val="19"/>
        </w:rPr>
        <w:t>pressure = [+1.0, 0.0, −2.0, −3.5][tier] × coupling × (1 + coalition_pressure·0.5)</w:t>
      </w:r>
    </w:p>
    <w:p>
      <w:pPr>
        <w:spacing w:after="120"/>
      </w:pPr>
      <w:r>
        <w:rPr>
          <w:i w:val="0"/>
        </w:rPr>
        <w:t>It clamps to [0, 100] (not the tipping cap), is idempotent within a round, and skips cascaded NPCs.</w:t>
      </w:r>
    </w:p>
    <w:p>
      <w:pPr>
        <w:pStyle w:val="Heading3"/>
      </w:pPr>
      <w:r>
        <w:rPr>
          <w:color w:val="0F2540"/>
        </w:rPr>
        <w:t>8.5  Reaction cascades</w:t>
      </w:r>
    </w:p>
    <w:p>
      <w:pPr>
        <w:spacing w:after="120"/>
      </w:pPr>
      <w:r>
        <w:rPr>
          <w:i w:val="0"/>
        </w:rPr>
        <w:t>At much lower thresholds, stakeholders cross discrete gates with hard effects — divestment, enforcement, injunction, mass resignation — each carrying treasury, reputation, SLO or burnout deltas and a list of cascading_triggers naming the stakeholders it drags along. See Appendix A for the full gate table.</w:t>
      </w:r>
    </w:p>
    <w:p>
      <w:pPr>
        <w:pStyle w:val="Heading3"/>
      </w:pPr>
      <w:r>
        <w:rPr>
          <w:color w:val="0F2540"/>
        </w:rPr>
        <w:t>8.6  Coalitions &amp; contagion (F3)</w:t>
      </w:r>
    </w:p>
    <w:p>
      <w:pPr>
        <w:spacing w:after="120"/>
      </w:pPr>
      <w:r>
        <w:rPr>
          <w:i w:val="0"/>
        </w:rPr>
        <w:t>When two or more stakeholders sit at a hostile tier a coalition forms; its pressure grows with the number of members beyond the first and their mean salience:</w:t>
      </w:r>
    </w:p>
    <w:p>
      <w:pPr>
        <w:spacing w:after="160"/>
      </w:pPr>
      <w:r>
        <w:rPr>
          <w:rFonts w:ascii="Consolas" w:hAnsi="Consolas"/>
          <w:color w:val="1F3A5F"/>
          <w:sz w:val="19"/>
        </w:rPr>
        <w:t>coalition_pressure = min(1.0, mean_salience · (member_count − 1))</w:t>
      </w:r>
    </w:p>
    <w:p>
      <w:pPr>
        <w:spacing w:after="120"/>
      </w:pPr>
      <w:r>
        <w:rPr>
          <w:i w:val="0"/>
        </w:rPr>
        <w:t>The pressure amplifies F2 feedback and next round's strike risk; separately, each fired cascade nudges the satisfaction/trust of its named targets by −5, one hop only, so a chain can never run away.</w:t>
      </w:r>
    </w:p>
    <w:p>
      <w:pPr>
        <w:pStyle w:val="Heading3"/>
      </w:pPr>
      <w:r>
        <w:rPr>
          <w:color w:val="0F2540"/>
        </w:rPr>
        <w:t>8.7  Strike probability</w:t>
      </w:r>
    </w:p>
    <w:p>
      <w:pPr>
        <w:spacing w:after="120"/>
      </w:pPr>
      <w:r>
        <w:rPr>
          <w:i w:val="0"/>
        </w:rPr>
        <w:t>Low social licence raises the odds of a revenue-zeroing strike, amplified by any coalition:</w:t>
      </w:r>
    </w:p>
    <w:p>
      <w:pPr>
        <w:spacing w:after="160"/>
      </w:pPr>
      <w:r>
        <w:rPr>
          <w:rFonts w:ascii="Consolas" w:hAnsi="Consolas"/>
          <w:color w:val="1F3A5F"/>
          <w:sz w:val="19"/>
        </w:rPr>
        <w:t>P(strike) = base_risk + (1 − SLO/100)·0.4·(1 + coalition_pressure·0.5)   # clamped [0,1]</w:t>
        <w:br/>
        <w:t># base_risk = governance_risk / 100</w:t>
      </w:r>
    </w:p>
    <w:p>
      <w:pPr>
        <w:spacing w:after="120"/>
      </w:pPr>
      <w:r>
        <w:rPr>
          <w:i w:val="0"/>
        </w:rPr>
        <w:t>Stakeholder fatigue makes recovery progressively harder: recovery_efficiency = 1 / (1 + 0.3 · crises).</w:t>
      </w:r>
    </w:p>
    <w:p>
      <w:pPr>
        <w:pStyle w:val="Heading3"/>
      </w:pPr>
      <w:r>
        <w:rPr>
          <w:color w:val="0F2540"/>
        </w:rPr>
        <w:t>8.8  Promises &amp; engagement (F5)</w:t>
      </w:r>
    </w:p>
    <w:p>
      <w:pPr>
        <w:spacing w:after="120"/>
      </w:pPr>
      <w:r>
        <w:rPr>
          <w:i w:val="0"/>
        </w:rPr>
        <w:t>Players may spend a round targeting one stakeholder: a town hall (+3 trust, no promise), a public pledge (+6 trust, registers a promise) or a private commitment (+4 trust, registers a promise), each with a treasury cost. At the due round a promise is judged: kept pays +8 trust, +4 SLO and +3 reputation; broken fires the F1 betrayal scar (−12 trust, capped recovery) and a −6 reputation ding. The ledger lives inside the carried-forward npc_stakeholders sub-dict.</w:t>
      </w:r>
    </w:p>
    <w:p>
      <w:pPr>
        <w:pStyle w:val="Heading3"/>
      </w:pPr>
      <w:r>
        <w:rPr>
          <w:color w:val="0F2540"/>
        </w:rPr>
        <w:t>8.9  Intent intel (F6)</w:t>
      </w:r>
    </w:p>
    <w:p>
      <w:pPr>
        <w:spacing w:after="120"/>
      </w:pPr>
      <w:r>
        <w:rPr>
          <w:i w:val="0"/>
        </w:rPr>
        <w:t>A read-only emitter turns each NPC into a card: its top unmet demand in plain language, its leverage (salience in words, e.g. 'high legitimacy, low power'), and its trend. Raw satisfaction and trust numbers are kept to a facilitator sub-dict. The demand phrasing is authored on the backend as the single source of truth, so the front-end rail can never drift from it.</w:t>
      </w:r>
    </w:p>
    <w:p>
      <w:pPr>
        <w:pStyle w:val="Heading2"/>
      </w:pPr>
      <w:r>
        <w:rPr>
          <w:color w:val="0F2540"/>
        </w:rPr>
        <w:t>9. Configuration &amp; toggles</w:t>
      </w:r>
    </w:p>
    <w:p>
      <w:pPr>
        <w:spacing w:after="120"/>
      </w:pPr>
      <w:r>
        <w:rPr>
          <w:i w:val="0"/>
        </w:rPr>
        <w:t>Every wave is gated on a pedagogical toggle, all default off, flippable per cohort in the setup modal (no code). With all off, behaviour is identical to the pre-module baseline and the regression 'golden trace' is byte-identical.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Toggle (default off)</w:t>
            </w:r>
          </w:p>
        </w:tc>
        <w:tc>
          <w:tcPr>
            <w:tcW w:type="dxa" w:w="475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Wave / effect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stakeholder_memory_enabled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F1 — trust stock, scars, sentiment bridge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stakeholder_slo_feedback_enabled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F2 — continuous tier → SLO feedback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stakeholder_engagement_enabled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F5 — engagement actions + promise ledger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stakeholder_coalitions_enabled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F3 — coalitions &amp; salience contagion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stakeholder_uncertainty_enabled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F4 — seeded thresholds + patience</w:t>
            </w:r>
          </w:p>
        </w:tc>
      </w:tr>
      <w:tr>
        <w:tc>
          <w:tcPr>
            <w:tcW w:type="dxa" w:w="4608"/>
          </w:tcPr>
          <w:p>
            <w:r/>
            <w:r>
              <w:rPr>
                <w:sz w:val="18"/>
              </w:rPr>
              <w:t>stakeholder_intel_ui_enabled</w:t>
            </w:r>
          </w:p>
        </w:tc>
        <w:tc>
          <w:tcPr>
            <w:tcW w:type="dxa" w:w="4752"/>
          </w:tcPr>
          <w:p>
            <w:r/>
            <w:r>
              <w:rPr>
                <w:sz w:val="18"/>
              </w:rPr>
              <w:t>F6 — intent-forward intel rail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  <w:t>Recommended enablement order mirrors the dependencies: Memory → SLO feedback → Promises, then Coalitions, Uncertainty and Intel in any order. Enabling F1–F5 changes the golden trace (trust and SLO now evolve) — that diff is the signal the wave works; re-baseline deliberately. All numeric tunables resolve through config.py's config-Excel pipeline, so they are adjustable without a code change.</w:t>
      </w:r>
    </w:p>
    <w:p>
      <w:pPr>
        <w:pStyle w:val="Heading2"/>
      </w:pPr>
      <w:r>
        <w:rPr>
          <w:color w:val="0F2540"/>
        </w:rPr>
        <w:t>10. Testing &amp; safety</w:t>
      </w:r>
    </w:p>
    <w:p>
      <w:pPr>
        <w:pStyle w:val="ListBullet"/>
      </w:pPr>
      <w:r>
        <w:rPr>
          <w:b/>
        </w:rPr>
        <w:t xml:space="preserve">Golden oracle: </w:t>
      </w:r>
      <w:r>
        <w:t>A seeded golden round-trace oracle pins SLO, reputation, governance risk and NPC state across a fixed 10-round run; with every wave off it must stay byte-identical to the prior baseline.</w:t>
      </w:r>
    </w:p>
    <w:p>
      <w:pPr>
        <w:pStyle w:val="ListBullet"/>
      </w:pPr>
      <w:r>
        <w:rPr>
          <w:b/>
        </w:rPr>
        <w:t xml:space="preserve">Per-wave tests: </w:t>
      </w:r>
      <w:r>
        <w:t>Each wave ships with focused unit tests — trust asymmetry and scars, the sentiment bridge, the F2 double-count/idempotency guards, coalition pressure and strike coupling, jitter reproducibility and patience, promise kept/broken, and the intel drift tripwire.</w:t>
      </w:r>
    </w:p>
    <w:p>
      <w:pPr>
        <w:pStyle w:val="ListBullet"/>
      </w:pPr>
      <w:r>
        <w:rPr>
          <w:b/>
        </w:rPr>
        <w:t xml:space="preserve">Determinism: </w:t>
      </w:r>
      <w:r>
        <w:t>All randomness flows through the seeded GAME-4 stream, so every team in a cohort faces the same rolls; the last bare-random draws in the stakeholder path were moved onto it.</w:t>
      </w:r>
    </w:p>
    <w:p>
      <w:pPr>
        <w:pStyle w:val="ListBullet"/>
      </w:pPr>
      <w:r>
        <w:rPr>
          <w:b/>
        </w:rPr>
        <w:t xml:space="preserve">Non-fatal: </w:t>
      </w:r>
      <w:r>
        <w:t>Every stakeholder engine runs inside a toggle-guarded try/except that logs and continues, so a fault in any wave can never block a round.</w:t>
      </w:r>
    </w:p>
    <w:p>
      <w:r>
        <w:br w:type="page"/>
      </w:r>
    </w:p>
    <w:p>
      <w:pPr>
        <w:pStyle w:val="Heading1"/>
      </w:pPr>
      <w:r>
        <w:rPr>
          <w:color w:val="0F2540"/>
        </w:rPr>
        <w:t>Appendix A — Archetype specification tables</w:t>
      </w:r>
    </w:p>
    <w:p>
      <w:pPr>
        <w:pStyle w:val="Heading2"/>
      </w:pPr>
      <w:r>
        <w:rPr>
          <w:color w:val="0F2540"/>
        </w:rPr>
        <w:t>Salience (Mitchell–Agle–Wood)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31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Power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Legitimacy</w:t>
            </w:r>
          </w:p>
        </w:tc>
        <w:tc>
          <w:tcPr>
            <w:tcW w:type="dxa" w:w="201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Urgency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Activist investor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0.85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0.70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Regulator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0.60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Community leader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0.30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0.90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Journalist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0.50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0.60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0.40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F2540"/>
        </w:rPr>
        <w:t>Satisfaction drivers (weight, baseline)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4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691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Drivers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Activist investor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reputation (+0.3/50), carbon intensity (−0.3/50), ESG-linked pay (+0.2/20), governance risk (−0.2/30)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Regulator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governance risk (−0.4/30), reputation (+0.2/50), TNFD disclosure (+0.2/0)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Community leader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social licence (+0.4/50), water stress (−0.3/40), just-transition fund (+0.2/0)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Journalist</w:t>
            </w:r>
          </w:p>
        </w:tc>
        <w:tc>
          <w:tcPr>
            <w:tcW w:type="dxa" w:w="6912"/>
          </w:tcPr>
          <w:p>
            <w:r/>
            <w:r>
              <w:rPr>
                <w:sz w:val="18"/>
              </w:rPr>
              <w:t>transparency (+0.3/50), reputation (+0.2/50), governance risk (−0.3/30)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0F2540"/>
        </w:rPr>
        <w:t>Reaction-cascade gates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Stakeholder → action</w:t>
            </w:r>
          </w:p>
        </w:tc>
        <w:tc>
          <w:tcPr>
            <w:tcW w:type="dxa" w:w="1872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Trigger</w:t>
            </w:r>
          </w:p>
        </w:tc>
        <w:tc>
          <w:tcPr>
            <w:tcW w:type="dxa" w:w="4320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Effects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Activist → divestment campaign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trust &lt; 25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treasury −5%, reputation −8, drags in journalist (persists 2 rounds)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Activist → proxy fight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trust &lt; 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−$2M, governance risk −10 (improves), board change, regulator watches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Regulator → enforcement action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trust &lt; 20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treasury −4% fine, mandatory disclosure, drags in journalist + activist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Community → court injunction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trust &lt; 20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SLO −10, reputation −5, drags in journalist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Gen-Z employee → mass resignation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trust &lt; 20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burnout +15, OPEX +8%, reputation −5, drags in journalist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0F2540"/>
        </w:rPr>
        <w:t>Appendix B — Key configuration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17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172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744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TRUST_GAIN_RATE / LOSS_RATE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0.25 / 0.55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Asymmetric trust integration (rise / fall)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TRUST_SCAR_IMMEDIATE / DURATION / CEILING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 / 3 / 60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Betrayal hit, scar window, capped recovery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NPC_SENTIMENT_BRIDGE_WEIGHT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0.30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Pull of the portfolio cohort on named-NPC satisfaction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STAKEHOLDER_SLO_COUPLING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Scales the F2 per-tier SLO pressure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COALITION_TIER_MIN / F2_GAIN / STRIKE_GAIN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 / 0.5 / 0.5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Hostile-tier threshold; coalition amplification of F2 and strike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CONTAGION_SAT_NUDGE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One-hop satisfaction/trust nudge to a cascade's named targets</w:t>
            </w:r>
          </w:p>
        </w:tc>
      </w:tr>
      <w:tr>
        <w:tc>
          <w:tcPr>
            <w:tcW w:type="dxa" w:w="4176"/>
          </w:tcPr>
          <w:p>
            <w:r/>
            <w:r>
              <w:rPr>
                <w:sz w:val="18"/>
              </w:rPr>
              <w:t>THRESHOLD_JITTER / PATIENCE_LIMIT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4.0 / 3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Escalation-threshold band; rounds-at-tier before forced escalation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i w:val="0"/>
        </w:rPr>
      </w:r>
    </w:p>
    <w:p>
      <w:pPr>
        <w:jc w:val="center"/>
      </w:pPr>
      <w:r>
        <w:rPr>
          <w:i/>
          <w:color w:val="555555"/>
          <w:sz w:val="17"/>
        </w:rPr>
        <w:t>Muressons stakeholder module — reference v1. Mechanics gated behind per-cohort toggles; all tunables config-Excel adjustable.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