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hiy90fpyz8v" w:id="0"/>
      <w:bookmarkEnd w:id="0"/>
      <w:r w:rsidDel="00000000" w:rsidR="00000000" w:rsidRPr="00000000">
        <w:rPr>
          <w:rtl w:val="0"/>
        </w:rPr>
        <w:t xml:space="preserve">Muressons — Parameter Provenance &amp; Calibration</w:t>
      </w:r>
    </w:p>
    <w:p w:rsidR="00000000" w:rsidDel="00000000" w:rsidP="00000000" w:rsidRDefault="00000000" w:rsidRPr="00000000" w14:paraId="00000002">
      <w:pPr>
        <w:rPr/>
      </w:pPr>
      <w:r w:rsidDel="00000000" w:rsidR="00000000" w:rsidRPr="00000000">
        <w:rPr>
          <w:i w:val="1"/>
          <w:iCs w:val="1"/>
          <w:rtl w:val="0"/>
        </w:rPr>
        <w:t xml:space="preserve">Purpose: map the key numeric constants in </w:t>
      </w:r>
      <w:r w:rsidDel="00000000" w:rsidR="00000000" w:rsidRPr="00000000">
        <w:rPr>
          <w:rFonts w:ascii="Roboto Mono" w:cs="Roboto Mono" w:eastAsia="Roboto Mono" w:hAnsi="Roboto Mono"/>
          <w:i w:val="1"/>
          <w:iCs w:val="1"/>
          <w:color w:val="188038"/>
          <w:rtl w:val="0"/>
        </w:rPr>
        <w:t xml:space="preserve">simulation_config.json</w:t>
      </w:r>
      <w:r w:rsidDel="00000000" w:rsidR="00000000" w:rsidRPr="00000000">
        <w:rPr>
          <w:i w:val="1"/>
          <w:iCs w:val="1"/>
          <w:rtl w:val="0"/>
        </w:rPr>
        <w:t xml:space="preserve"> (and a few engine-level parameters) to their real-world rationale, so facilitators can defend the model's assumptions in the room. This document is </w:t>
      </w:r>
      <w:r w:rsidDel="00000000" w:rsidR="00000000" w:rsidRPr="00000000">
        <w:rPr>
          <w:b w:val="1"/>
          <w:bCs w:val="1"/>
          <w:i w:val="1"/>
          <w:iCs w:val="1"/>
          <w:rtl w:val="0"/>
        </w:rPr>
        <w:t xml:space="preserve">descriptive</w:t>
      </w:r>
      <w:r w:rsidDel="00000000" w:rsidR="00000000" w:rsidRPr="00000000">
        <w:rPr>
          <w:i w:val="1"/>
          <w:iCs w:val="1"/>
          <w:rtl w:val="0"/>
        </w:rPr>
        <w:t xml:space="preserve"> — it does not change any runtime value. The authoritative numbers always live in </w:t>
      </w:r>
      <w:r w:rsidDel="00000000" w:rsidR="00000000" w:rsidRPr="00000000">
        <w:rPr>
          <w:rFonts w:ascii="Roboto Mono" w:cs="Roboto Mono" w:eastAsia="Roboto Mono" w:hAnsi="Roboto Mono"/>
          <w:i w:val="1"/>
          <w:iCs w:val="1"/>
          <w:color w:val="188038"/>
          <w:rtl w:val="0"/>
        </w:rPr>
        <w:t xml:space="preserve">simulation_config.json</w:t>
      </w:r>
      <w:r w:rsidDel="00000000" w:rsidR="00000000" w:rsidRPr="00000000">
        <w:rPr>
          <w:i w:val="1"/>
          <w:iCs w:val="1"/>
          <w:rtl w:val="0"/>
        </w:rPr>
        <w:t xml:space="preserve">; the sidecar </w:t>
      </w:r>
      <w:r w:rsidDel="00000000" w:rsidR="00000000" w:rsidRPr="00000000">
        <w:rPr>
          <w:rFonts w:ascii="Roboto Mono" w:cs="Roboto Mono" w:eastAsia="Roboto Mono" w:hAnsi="Roboto Mono"/>
          <w:i w:val="1"/>
          <w:iCs w:val="1"/>
          <w:color w:val="188038"/>
          <w:rtl w:val="0"/>
        </w:rPr>
        <w:t xml:space="preserve">simulation_config.provenance.json</w:t>
      </w:r>
      <w:r w:rsidDel="00000000" w:rsidR="00000000" w:rsidRPr="00000000">
        <w:rPr>
          <w:i w:val="1"/>
          <w:iCs w:val="1"/>
          <w:rtl w:val="0"/>
        </w:rPr>
        <w:t xml:space="preserve"> carries a machine-readable version of this mapping that the engine ignores.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Framing for the room:</w:t>
      </w:r>
      <w:r w:rsidDel="00000000" w:rsidR="00000000" w:rsidRPr="00000000">
        <w:rPr>
          <w:rtl w:val="0"/>
        </w:rPr>
        <w:t xml:space="preserve"> Muressons is a </w:t>
      </w:r>
      <w:r w:rsidDel="00000000" w:rsidR="00000000" w:rsidRPr="00000000">
        <w:rPr>
          <w:i w:val="1"/>
          <w:iCs w:val="1"/>
          <w:rtl w:val="0"/>
        </w:rPr>
        <w:t xml:space="preserve">decision-quality</w:t>
      </w:r>
      <w:r w:rsidDel="00000000" w:rsidR="00000000" w:rsidRPr="00000000">
        <w:rPr>
          <w:rtl w:val="0"/>
        </w:rPr>
        <w:t xml:space="preserve"> simulator, not a forecasting model. The constants below are chosen to be defensible, directionally correct, and pedagogically sharp — calibrated so that realistic sustainability trade-offs produce realistic consequences over a 5-year horizon. Where a single "true" number does not exist, we use a transparent midpoint of the published range and tune for teaching clarity.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k1eq44czqd59" w:id="1"/>
      <w:bookmarkEnd w:id="1"/>
      <w:r w:rsidDel="00000000" w:rsidR="00000000" w:rsidRPr="00000000">
        <w:rPr>
          <w:rtl w:val="0"/>
        </w:rPr>
        <w:t xml:space="preserve">Economic parameters</w:t>
      </w:r>
    </w:p>
    <w:p w:rsidR="00000000" w:rsidDel="00000000" w:rsidP="00000000" w:rsidRDefault="00000000" w:rsidRPr="00000000" w14:paraId="00000008">
      <w:pPr>
        <w:rPr/>
      </w:pPr>
      <w:r w:rsidDel="00000000" w:rsidR="00000000" w:rsidRPr="00000000">
        <w:rPr>
          <w:b w:val="1"/>
          <w:bCs w:val="1"/>
          <w:rtl w:val="0"/>
        </w:rPr>
        <w:t xml:space="preserve">Carbon price base — $50 / tCO₂e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economic_parameters.carbon_price_base</w:t>
      </w:r>
      <w:r w:rsidDel="00000000" w:rsidR="00000000" w:rsidRPr="00000000">
        <w:rPr>
          <w:rtl w:val="0"/>
        </w:rPr>
        <w:t xml:space="preserve">) Anchored to observed compliance-market carbon prices in the early-2020s (EU ETS traded broadly in the €50–100 band; several other schemes sat lower). $50 is a deliberately conservative </w:t>
      </w:r>
      <w:r w:rsidDel="00000000" w:rsidR="00000000" w:rsidRPr="00000000">
        <w:rPr>
          <w:i w:val="1"/>
          <w:iCs w:val="1"/>
          <w:rtl w:val="0"/>
        </w:rPr>
        <w:t xml:space="preserve">starting</w:t>
      </w:r>
      <w:r w:rsidDel="00000000" w:rsidR="00000000" w:rsidRPr="00000000">
        <w:rPr>
          <w:rtl w:val="0"/>
        </w:rPr>
        <w:t xml:space="preserve"> point so the 5-year trajectory, not the opening level, drives the lesson.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Carbon price growth — 5% / period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economic_parameters.carbon_price_growth_rate</w:t>
      </w:r>
      <w:r w:rsidDel="00000000" w:rsidR="00000000" w:rsidRPr="00000000">
        <w:rPr>
          <w:rtl w:val="0"/>
        </w:rPr>
        <w:t xml:space="preserve">) Reflects the widely-modelled upward path of carbon pricing as schemes tighten caps and coverage. 5% per 6-month period compounds to a materially higher price by Year 5, rewarding early decarbonisation — the intended teaching signal.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Circular-economy efficiency bonus —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economic_parameters.circular_economy_efficiency_bonus</w:t>
      </w:r>
      <w:r w:rsidDel="00000000" w:rsidR="00000000" w:rsidRPr="00000000">
        <w:rPr>
          <w:rtl w:val="0"/>
        </w:rPr>
        <w:t xml:space="preserve">) Order-of-magnitude estimate of OPEX/material-efficiency gains from circular strategies (reuse, remanufacture, product-as-a-service), consistent with Ellen MacArthur Foundation and ReSOLVE-framework case evidence. Used as a bounded bonus, not a precise firm-level figure.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4n04rkqyrecb" w:id="2"/>
      <w:bookmarkEnd w:id="2"/>
      <w:r w:rsidDel="00000000" w:rsidR="00000000" w:rsidRPr="00000000">
        <w:rPr>
          <w:rtl w:val="0"/>
        </w:rPr>
        <w:t xml:space="preserve">Financial parameters</w:t>
      </w:r>
    </w:p>
    <w:p w:rsidR="00000000" w:rsidDel="00000000" w:rsidP="00000000" w:rsidRDefault="00000000" w:rsidRPr="00000000" w14:paraId="00000010">
      <w:pPr>
        <w:rPr/>
      </w:pPr>
      <w:r w:rsidDel="00000000" w:rsidR="00000000" w:rsidRPr="00000000">
        <w:rPr>
          <w:b w:val="1"/>
          <w:bCs w:val="1"/>
          <w:rtl w:val="0"/>
        </w:rPr>
        <w:t xml:space="preserve">Shadow carbon price — $250 / tCO₂e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financial_parameters.shadow_carbon_price</w:t>
      </w:r>
      <w:r w:rsidDel="00000000" w:rsidR="00000000" w:rsidRPr="00000000">
        <w:rPr>
          <w:rtl w:val="0"/>
        </w:rPr>
        <w:t xml:space="preserve">) An </w:t>
      </w:r>
      <w:r w:rsidDel="00000000" w:rsidR="00000000" w:rsidRPr="00000000">
        <w:rPr>
          <w:i w:val="1"/>
          <w:iCs w:val="1"/>
          <w:rtl w:val="0"/>
        </w:rPr>
        <w:t xml:space="preserve">internal</w:t>
      </w:r>
      <w:r w:rsidDel="00000000" w:rsidR="00000000" w:rsidRPr="00000000">
        <w:rPr>
          <w:rtl w:val="0"/>
        </w:rPr>
        <w:t xml:space="preserve"> carbon price applied in terminal valuation, deliberately well above the market price. This mirrors the internal carbon prices that leading corporates apply to capital decisions (CDP's disclosures show internal prices ranging from ~$10 to well above $100, with climate-ambitious firms at the top end). The $250 level makes long-horizon decarbonisation economically visible within the game's 5-year window.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Corporate tax rate — 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financial_parameters.corporate_tax_rate</w:t>
      </w:r>
      <w:r w:rsidDel="00000000" w:rsidR="00000000" w:rsidRPr="00000000">
        <w:rPr>
          <w:rtl w:val="0"/>
        </w:rPr>
        <w:t xml:space="preserve">) Representative of blended statutory corporate tax rates across major economies (OECD average sits in the low-to-mid 20s%).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Default loan rate — 12%, emergency spread —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financial_parameters.default_loan_rate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emergency_rate_spread</w:t>
      </w:r>
      <w:r w:rsidDel="00000000" w:rsidR="00000000" w:rsidRPr="00000000">
        <w:rPr>
          <w:rtl w:val="0"/>
        </w:rPr>
        <w:t xml:space="preserve">) Represents the cost of unsecured/distressed corporate borrowing; the emergency spread models the premium a lender charges when a firm draws crisis credit. Directionally consistent with high-yield/distressed spreads.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WACC lender threshold — 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financial_parameters.wacc_lender_threshold</w:t>
      </w:r>
      <w:r w:rsidDel="00000000" w:rsidR="00000000" w:rsidRPr="00000000">
        <w:rPr>
          <w:rtl w:val="0"/>
        </w:rPr>
        <w:t xml:space="preserve">) The cost-of-capital level above which lenders begin to price in ESG-driven risk; ties the Natural Capital Debt mechanic to real credit behaviour.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CapEx cap multiple — 2.0×, free CSF —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financial_parameters.capex_cap_multiple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free_csf_pct</w:t>
      </w:r>
      <w:r w:rsidDel="00000000" w:rsidR="00000000" w:rsidRPr="00000000">
        <w:rPr>
          <w:rtl w:val="0"/>
        </w:rPr>
        <w:t xml:space="preserve">) Game-design guardrails that keep investment within a plausible fraction of the capital pool while preserving meaningful choice.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51qlcedkwk70" w:id="3"/>
      <w:bookmarkEnd w:id="3"/>
      <w:r w:rsidDel="00000000" w:rsidR="00000000" w:rsidRPr="00000000">
        <w:rPr>
          <w:rtl w:val="0"/>
        </w:rPr>
        <w:t xml:space="preserve">Exit multiple (terminal valuation)</w:t>
      </w:r>
    </w:p>
    <w:p w:rsidR="00000000" w:rsidDel="00000000" w:rsidP="00000000" w:rsidRDefault="00000000" w:rsidRPr="00000000" w14:paraId="0000001C">
      <w:pPr>
        <w:rPr/>
      </w:pPr>
      <w:r w:rsidDel="00000000" w:rsidR="00000000" w:rsidRPr="00000000">
        <w:rPr>
          <w:b w:val="1"/>
          <w:bCs w:val="1"/>
          <w:rtl w:val="0"/>
        </w:rPr>
        <w:t xml:space="preserve">Dynamic exit multiple — Gordon Growth Model, ~2% long-run growth, 12× fallback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terminal_valuation.py</w:t>
      </w:r>
      <w:r w:rsidDel="00000000" w:rsidR="00000000" w:rsidRPr="00000000">
        <w:rPr>
          <w:rtl w:val="0"/>
        </w:rPr>
        <w:t xml:space="preserve">) The exit multiple is </w:t>
      </w:r>
      <w:r w:rsidDel="00000000" w:rsidR="00000000" w:rsidRPr="00000000">
        <w:rPr>
          <w:b w:val="1"/>
          <w:bCs w:val="1"/>
          <w:rtl w:val="0"/>
        </w:rPr>
        <w:t xml:space="preserve">not</w:t>
      </w:r>
      <w:r w:rsidDel="00000000" w:rsidR="00000000" w:rsidRPr="00000000">
        <w:rPr>
          <w:rtl w:val="0"/>
        </w:rPr>
        <w:t xml:space="preserve"> a fixed number; it is derived from the firm's WACC and a long-run nominal growth assumption (</w:t>
      </w:r>
      <w:r w:rsidDel="00000000" w:rsidR="00000000" w:rsidRPr="00000000">
        <w:rPr>
          <w:rFonts w:ascii="Nova Mono" w:cs="Nova Mono" w:eastAsia="Nova Mono" w:hAnsi="Nova Mono"/>
          <w:color w:val="188038"/>
          <w:rtl w:val="0"/>
        </w:rPr>
        <w:t xml:space="preserve">_LONG_RUN_GROWTH ≈ 2%</w:t>
      </w:r>
      <w:r w:rsidDel="00000000" w:rsidR="00000000" w:rsidRPr="00000000">
        <w:rPr>
          <w:rtl w:val="0"/>
        </w:rPr>
        <w:t xml:space="preserve">, i.e. real GDP + inflation) via the Gordon Growth Model, then clamped to a floor/ceiling. A fixed 12× is retained only as a fallback. This links valuation directly to the cost-of-capital engine, so decisions that lower WACC (better ESG, lower Natural Capital Debt) legitimately raise the multiple. 12× is representative of mid-cycle EV/EBITDA for diversified industrials.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t575sig8o6cu" w:id="4"/>
      <w:bookmarkEnd w:id="4"/>
      <w:r w:rsidDel="00000000" w:rsidR="00000000" w:rsidRPr="00000000">
        <w:rPr>
          <w:rtl w:val="0"/>
        </w:rPr>
        <w:t xml:space="preserve">Climate &amp; greenium parameters</w:t>
      </w:r>
    </w:p>
    <w:p w:rsidR="00000000" w:rsidDel="00000000" w:rsidP="00000000" w:rsidRDefault="00000000" w:rsidRPr="00000000" w14:paraId="00000020">
      <w:pPr>
        <w:rPr/>
      </w:pPr>
      <w:r w:rsidDel="00000000" w:rsidR="00000000" w:rsidRPr="00000000">
        <w:rPr>
          <w:b w:val="1"/>
          <w:bCs w:val="1"/>
          <w:rtl w:val="0"/>
        </w:rPr>
        <w:t xml:space="preserve">Loss &amp; Damage levy — $1M (stressed) / $4M (tipped)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climate_parameters</w:t>
      </w:r>
      <w:r w:rsidDel="00000000" w:rsidR="00000000" w:rsidRPr="00000000">
        <w:rPr>
          <w:rtl w:val="0"/>
        </w:rPr>
        <w:t xml:space="preserve">) Scaled penalties representing climate loss-and-damage liabilities, stepping up sharply once a tipping point is crossed — encoding the non-linearity of climate risk.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Greenium / brown penalty — ~75 bps greenium; 60% green discount / 20% brown penalty taxonomy bands</w:t>
      </w:r>
      <w:r w:rsidDel="00000000" w:rsidR="00000000" w:rsidRPr="00000000">
        <w:rPr>
          <w:rtl w:val="0"/>
        </w:rPr>
        <w:t xml:space="preserve"> (ESG Refinancing module; </w:t>
      </w:r>
      <w:r w:rsidDel="00000000" w:rsidR="00000000" w:rsidRPr="00000000">
        <w:rPr>
          <w:rFonts w:ascii="Roboto Mono" w:cs="Roboto Mono" w:eastAsia="Roboto Mono" w:hAnsi="Roboto Mono"/>
          <w:color w:val="188038"/>
          <w:rtl w:val="0"/>
        </w:rPr>
        <w:t xml:space="preserve">admin_router.py</w:t>
      </w:r>
      <w:r w:rsidDel="00000000" w:rsidR="00000000" w:rsidRPr="00000000">
        <w:rPr>
          <w:rtl w:val="0"/>
        </w:rPr>
        <w:t xml:space="preserve"> taxonomy thresholds, </w:t>
      </w:r>
      <w:r w:rsidDel="00000000" w:rsidR="00000000" w:rsidRPr="00000000">
        <w:rPr>
          <w:rFonts w:ascii="Roboto Mono" w:cs="Roboto Mono" w:eastAsia="Roboto Mono" w:hAnsi="Roboto Mono"/>
          <w:color w:val="188038"/>
          <w:rtl w:val="0"/>
        </w:rPr>
        <w:t xml:space="preserve">engine.py</w:t>
      </w:r>
      <w:r w:rsidDel="00000000" w:rsidR="00000000" w:rsidRPr="00000000">
        <w:rPr>
          <w:rtl w:val="0"/>
        </w:rPr>
        <w:t xml:space="preserve"> brown-penalty trigger) The ~75 basis-point greenium for sustainability leaders is grounded in green-bond and sustainability-linked-loan pricing observed in Bloomberg 2022–2024 issuance data. The EU-taxonomy-style bands (green discount vs. brown penalty, gated on carbon-intensity thresholds) mirror the direction of real green/brown financing spreads rather than any single instrument.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naz039jndgvd" w:id="5"/>
      <w:bookmarkEnd w:id="5"/>
      <w:r w:rsidDel="00000000" w:rsidR="00000000" w:rsidRPr="00000000">
        <w:rPr>
          <w:rtl w:val="0"/>
        </w:rPr>
        <w:t xml:space="preserve">Regenerative Multiple (M_R) — scoring integrity</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Synergy contributes +0.15 (not +0.30):</w:t>
      </w:r>
      <w:r w:rsidDel="00000000" w:rsidR="00000000" w:rsidRPr="00000000">
        <w:rPr>
          <w:rtl w:val="0"/>
        </w:rPr>
        <w:t xml:space="preserve"> cross-BU synergy already reduces OPEX and thus lifts EBITDA; adding the full multiple would double-count the same benefit. See </w:t>
      </w:r>
      <w:r w:rsidDel="00000000" w:rsidR="00000000" w:rsidRPr="00000000">
        <w:rPr>
          <w:rFonts w:ascii="Roboto Mono" w:cs="Roboto Mono" w:eastAsia="Roboto Mono" w:hAnsi="Roboto Mono"/>
          <w:color w:val="188038"/>
          <w:rtl w:val="0"/>
        </w:rPr>
        <w:t xml:space="preserve">terminal_valuation.py</w:t>
      </w:r>
      <w:r w:rsidDel="00000000" w:rsidR="00000000" w:rsidRPr="00000000">
        <w:rPr>
          <w:rtl w:val="0"/>
        </w:rPr>
        <w:t xml:space="preserve"> header.</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M_R is clamped</w:t>
      </w:r>
      <w:r w:rsidDel="00000000" w:rsidR="00000000" w:rsidRPr="00000000">
        <w:rPr>
          <w:rtl w:val="0"/>
        </w:rPr>
        <w:t xml:space="preserve"> to a floor and ceiling so no bonus/penalty stack can produce an economically meaningless valuation.</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Determinism:</w:t>
      </w:r>
      <w:r w:rsidDel="00000000" w:rsidR="00000000" w:rsidRPr="00000000">
        <w:rPr>
          <w:rtl w:val="0"/>
        </w:rPr>
        <w:t xml:space="preserve"> every team in a cohort shares one RNG seed (</w:t>
      </w:r>
      <w:r w:rsidDel="00000000" w:rsidR="00000000" w:rsidRPr="00000000">
        <w:rPr>
          <w:rFonts w:ascii="Roboto Mono" w:cs="Roboto Mono" w:eastAsia="Roboto Mono" w:hAnsi="Roboto Mono"/>
          <w:color w:val="188038"/>
          <w:rtl w:val="0"/>
        </w:rPr>
        <w:t xml:space="preserve">rng_util.py</w:t>
      </w:r>
      <w:r w:rsidDel="00000000" w:rsidR="00000000" w:rsidRPr="00000000">
        <w:rPr>
          <w:rtl w:val="0"/>
        </w:rPr>
        <w:t xml:space="preserve">), so stochastic events roll identically across teams — leaderboard differences reflect strategy, not luck.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eaopxi10h66b" w:id="6"/>
      <w:bookmarkEnd w:id="6"/>
      <w:r w:rsidDel="00000000" w:rsidR="00000000" w:rsidRPr="00000000">
        <w:rPr>
          <w:rtl w:val="0"/>
        </w:rPr>
        <w:t xml:space="preserve">How to keep this document honest</w:t>
      </w:r>
    </w:p>
    <w:p w:rsidR="00000000" w:rsidDel="00000000" w:rsidP="00000000" w:rsidRDefault="00000000" w:rsidRPr="00000000" w14:paraId="0000002C">
      <w:pPr>
        <w:numPr>
          <w:ilvl w:val="0"/>
          <w:numId w:val="2"/>
        </w:numPr>
        <w:ind w:left="720" w:hanging="360"/>
      </w:pPr>
      <w:r w:rsidDel="00000000" w:rsidR="00000000" w:rsidRPr="00000000">
        <w:rPr>
          <w:rFonts w:ascii="Roboto Mono" w:cs="Roboto Mono" w:eastAsia="Roboto Mono" w:hAnsi="Roboto Mono"/>
          <w:color w:val="188038"/>
          <w:rtl w:val="0"/>
        </w:rPr>
        <w:t xml:space="preserve">simulation_config.json</w:t>
      </w:r>
      <w:r w:rsidDel="00000000" w:rsidR="00000000" w:rsidRPr="00000000">
        <w:rPr>
          <w:rtl w:val="0"/>
        </w:rPr>
        <w:t xml:space="preserve"> remains the single source of truth for values. This doc explains </w:t>
      </w:r>
      <w:r w:rsidDel="00000000" w:rsidR="00000000" w:rsidRPr="00000000">
        <w:rPr>
          <w:i w:val="1"/>
          <w:iCs w:val="1"/>
          <w:rtl w:val="0"/>
        </w:rPr>
        <w:t xml:space="preserve">why</w:t>
      </w:r>
      <w:r w:rsidDel="00000000" w:rsidR="00000000" w:rsidRPr="00000000">
        <w:rPr>
          <w:rtl w:val="0"/>
        </w:rPr>
        <w:t xml:space="preserve">; it never overrides.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When a constant changes, update the matching line here </w:t>
      </w:r>
      <w:r w:rsidDel="00000000" w:rsidR="00000000" w:rsidRPr="00000000">
        <w:rPr>
          <w:b w:val="1"/>
          <w:bCs w:val="1"/>
          <w:rtl w:val="0"/>
        </w:rPr>
        <w:t xml:space="preserve">and</w:t>
      </w:r>
      <w:r w:rsidDel="00000000" w:rsidR="00000000" w:rsidRPr="00000000">
        <w:rPr>
          <w:rtl w:val="0"/>
        </w:rPr>
        <w:t xml:space="preserve"> the sidecar </w:t>
      </w:r>
      <w:r w:rsidDel="00000000" w:rsidR="00000000" w:rsidRPr="00000000">
        <w:rPr>
          <w:rFonts w:ascii="Roboto Mono" w:cs="Roboto Mono" w:eastAsia="Roboto Mono" w:hAnsi="Roboto Mono"/>
          <w:color w:val="188038"/>
          <w:rtl w:val="0"/>
        </w:rPr>
        <w:t xml:space="preserve">simulation_config.provenance.json</w:t>
      </w:r>
      <w:r w:rsidDel="00000000" w:rsidR="00000000" w:rsidRPr="00000000">
        <w:rPr>
          <w:rtl w:val="0"/>
        </w:rPr>
        <w:t xml:space="preserve">.</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Cite the range, not a false-precision point estimate, wherever the literature gives a band.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Suggested references for facilitators to keep on hand: CDP internal-carbon-price reports; EU ETS price history; OECD corporate tax database; Ellen MacArthur Foundation circular-economy studies; Bloomberg/BNEF green-bond pricing notes; standard corporate-finance treatment of the Gordon Growth Model.</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