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Muressons Simulation: New Modules Integration &amp; Pedagogical Framework</w:t>
      </w:r>
    </w:p>
    <w:p>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pPr>
        <w:pStyle w:val="Heading1"/>
      </w:pPr>
      <w:r>
        <w:t>1. Biodiversity Engine (biodiversity_engine.py)</w:t>
      </w:r>
    </w:p>
    <w:p>
      <w:pPr>
        <w:pStyle w:val="Heading2"/>
      </w:pPr>
      <w:r>
        <w:t>Purpose</w:t>
      </w:r>
    </w:p>
    <w:p>
      <w:r>
        <w:t>Decouples nature-related financial risks from generic carbon metrics to track real-world ecosystem dependencies.</w:t>
      </w:r>
    </w:p>
    <w:p>
      <w:pPr>
        <w:pStyle w:val="Heading2"/>
      </w:pPr>
      <w:r>
        <w:t>Integration &amp; Operationalisation</w:t>
      </w:r>
    </w:p>
    <w:p>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pPr>
        <w:pStyle w:val="Heading2"/>
      </w:pPr>
      <w:r>
        <w:t>Theoretical Foundation</w:t>
      </w:r>
    </w:p>
    <w:p>
      <w:r>
        <w:t>Based on the Dasgupta Review (2021) which treats nature as an asset with a depreciating stock, the TNFD (Taskforce on Nature-related Financial Disclosures) LEAP approach, and SBTN (Science Based Targets for Nature) classifications for freshwater and land impact.</w:t>
      </w:r>
    </w:p>
    <w:p>
      <w:pPr>
        <w:pStyle w:val="Heading2"/>
      </w:pPr>
      <w:r>
        <w:t>Sample Calculations &amp; Walkthrough</w:t>
      </w:r>
    </w:p>
    <w:p>
      <w:r>
        <w:rPr>
          <w:rFonts w:ascii="Courier New" w:hAnsi="Courier New"/>
        </w:rPr>
        <w:t>Ecosystem Health Index (EHI) composite score (0-100):</w:t>
        <w:br/>
        <w:t>EHI_new = EHI_old - (NCD_delta * 0.5) - (deforestation * 2.0) + (habitat_integrity * 5.0) + restoration_bonus - (carbon_intensity * 0.1)</w:t>
        <w:br/>
        <w:br/>
        <w:t>Example Walkthrough:</w:t>
        <w:br/>
        <w:t>If the current EHI is 65, and a recent expansion causes a Natural Capital Debt (NCD) increase of 10, deforestation of 2.5 hectares, while maintaining a 55% habitat integrity, with a carbon intensity of 50 and an active restoration bonus of +2.0:</w:t>
        <w:br/>
        <w:t>EHI_new = 65 - (10 * 0.5) - (2.5 * 2.0) + (0.55 * 5.0) + 2.0 - (50 * 0.1)</w:t>
        <w:br/>
        <w:t>EHI_new = 65 - 5.0 - 5.0 + 2.75 + 2.0 - 5.0 = 54.75</w:t>
      </w:r>
    </w:p>
    <w:p>
      <w:r>
        <w:br w:type="page"/>
      </w:r>
    </w:p>
    <w:p>
      <w:pPr>
        <w:pStyle w:val="Heading1"/>
      </w:pPr>
      <w:r>
        <w:t>2. Balance Sheet Engine (balance_sheet.py)</w:t>
      </w:r>
    </w:p>
    <w:p>
      <w:pPr>
        <w:pStyle w:val="Heading2"/>
      </w:pPr>
      <w:r>
        <w:t>Purpose</w:t>
      </w:r>
    </w:p>
    <w:p>
      <w:r>
        <w:t>Transforms the standard cash-flow treasury system into a holistic corporate balance sheet view.</w:t>
      </w:r>
    </w:p>
    <w:p>
      <w:pPr>
        <w:pStyle w:val="Heading2"/>
      </w:pPr>
      <w:r>
        <w:t>Integration &amp; Operationalisation</w:t>
      </w:r>
    </w:p>
    <w:p>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pPr>
        <w:pStyle w:val="Heading2"/>
      </w:pPr>
      <w:r>
        <w:t>Theoretical Foundation</w:t>
      </w:r>
    </w:p>
    <w:p>
      <w:r>
        <w:t>Anchored in IFRS/IAS 1 (Statement of Financial Position), the Integrated Reporting &lt;IR&gt; Framework's 6 capitals model, and the Modigliani-Miller theorem regarding capital structure relevance in an ESG-constrained market.</w:t>
      </w:r>
    </w:p>
    <w:p>
      <w:pPr>
        <w:pStyle w:val="Heading2"/>
      </w:pPr>
      <w:r>
        <w:t>Sample Calculations &amp; Walkthrough</w:t>
      </w:r>
    </w:p>
    <w:p>
      <w:r>
        <w:rPr>
          <w:rFonts w:ascii="Courier New" w:hAnsi="Courier New"/>
        </w:rPr>
        <w:t>Stranded Asset Risk Write-down and Adjusted Equity:</w:t>
        <w:br/>
        <w:t>Adjusted_Equity = Total_Assets - (Standard_Liabilities + (Brown_Assets * Transition_Risk_Factor))</w:t>
        <w:br/>
        <w:br/>
        <w:t>Example Walkthrough:</w:t>
        <w:br/>
        <w:t>For a company with $100M in total assets, $40M in standard liabilities, and $20M in highly carbon-intensive 'brown' assets facing a 50% transition risk probability factor (e.g., due to incoming carbon taxes):</w:t>
        <w:br/>
        <w:t>Adjusted_Equity = $100M - ($40M + ($20M * 0.5))</w:t>
        <w:br/>
        <w:t>Adjusted_Equity = $100M - ($40M + $10M) = $50M</w:t>
      </w:r>
    </w:p>
    <w:p>
      <w:r>
        <w:br w:type="page"/>
      </w:r>
    </w:p>
    <w:p>
      <w:pPr>
        <w:pStyle w:val="Heading1"/>
      </w:pPr>
      <w:r>
        <w:t>3. Meadows Leverage Points Framework (meadows_leverage.py)</w:t>
      </w:r>
    </w:p>
    <w:p>
      <w:pPr>
        <w:pStyle w:val="Heading2"/>
      </w:pPr>
      <w:r>
        <w:t>Purpose</w:t>
      </w:r>
    </w:p>
    <w:p>
      <w:r>
        <w:t>A pedagogical tracking system that measures the systemic depth of a student's interventions.</w:t>
      </w:r>
    </w:p>
    <w:p>
      <w:pPr>
        <w:pStyle w:val="Heading2"/>
      </w:pPr>
      <w:r>
        <w:t>Integration &amp; Operationalisation</w:t>
      </w:r>
    </w:p>
    <w:p>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pPr>
        <w:pStyle w:val="Heading2"/>
      </w:pPr>
      <w:r>
        <w:t>Theoretical Foundation</w:t>
      </w:r>
    </w:p>
    <w:p>
      <w:r>
        <w:t>Directly implements Donella Meadows' (2008) 'Thinking in Systems' 12 Leverage Points framework. It also categorizes feedback loops using Sterman (2000) and detects Senge (1990) system archetypes (e.g., 'Tragedy of the Commons').</w:t>
      </w:r>
    </w:p>
    <w:p>
      <w:pPr>
        <w:pStyle w:val="Heading2"/>
      </w:pPr>
      <w:r>
        <w:t>Sample Calculations &amp; Walkthrough</w:t>
      </w:r>
    </w:p>
    <w:p>
      <w:r>
        <w:rPr>
          <w:rFonts w:ascii="Courier New" w:hAnsi="Courier New"/>
        </w:rPr>
        <w:t>Intervention Impact Score Calculation:</w:t>
        <w:br/>
        <w:t>Impact = Base_Decision_Value * (13 - Leverage_Point_Level)</w:t>
        <w:br/>
        <w:br/>
        <w:t>Example Walkthrough:</w:t>
        <w:br/>
        <w:t>If a student chooses to optimize a constant parameter like adjusting an ad budget (Leverage Point Level 12), with a base value of 10:</w:t>
        <w:br/>
        <w:t>Impact = 10 * (13 - 12) = 10.</w:t>
        <w:br/>
        <w:t>Conversely, if a student alters the fundamental rules of the system or its information flows (Leverage Point Level 3) with the same base effort:</w:t>
        <w:br/>
        <w:t>Impact = 10 * (13 - 3) = 100.</w:t>
      </w:r>
    </w:p>
    <w:p>
      <w:r>
        <w:br w:type="page"/>
      </w:r>
    </w:p>
    <w:p>
      <w:pPr>
        <w:pStyle w:val="Heading1"/>
      </w:pPr>
      <w:r>
        <w:t>4. Board Governance Minigame (board_governance.py)</w:t>
      </w:r>
    </w:p>
    <w:p>
      <w:pPr>
        <w:pStyle w:val="Heading2"/>
      </w:pPr>
      <w:r>
        <w:t>Purpose</w:t>
      </w:r>
    </w:p>
    <w:p>
      <w:r>
        <w:t>Simulates internal corporate governance friction and the agency problem.</w:t>
      </w:r>
    </w:p>
    <w:p>
      <w:pPr>
        <w:pStyle w:val="Heading2"/>
      </w:pPr>
      <w:r>
        <w:t>Integration &amp; Operationalisation</w:t>
      </w:r>
    </w:p>
    <w:p>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pPr>
        <w:pStyle w:val="Heading2"/>
      </w:pPr>
      <w:r>
        <w:t>Theoretical Foundation</w:t>
      </w:r>
    </w:p>
    <w:p>
      <w:r>
        <w:t>Built on the Cadbury Report (1992) standards for board independence, the UK Corporate Governance Code (2018), and Bebchuk's (2005) agency theory regarding pay without performance.</w:t>
      </w:r>
    </w:p>
    <w:p>
      <w:pPr>
        <w:pStyle w:val="Heading2"/>
      </w:pPr>
      <w:r>
        <w:t>Sample Calculations &amp; Walkthrough</w:t>
      </w:r>
    </w:p>
    <w:p>
      <w:r>
        <w:rPr>
          <w:rFonts w:ascii="Courier New" w:hAnsi="Courier New"/>
        </w:rPr>
        <w:t>Board Resolution Approval Confidence:</w:t>
        <w:br/>
        <w:t>Approval_Confidence = (Independent_Votes * 1.5 + Exec_Votes * 1.0) / Total_Weighted_Votes</w:t>
        <w:br/>
        <w:br/>
        <w:t>Example Walkthrough:</w:t>
        <w:br/>
        <w:t>A board consists of 4 Independents (weight 1.5) and 2 Executives (weight 1.0). If all members vote favorably:</w:t>
        <w:br/>
        <w:t>Numerator = (4 * 1.5) + (2 * 1.0) = 8.0</w:t>
        <w:br/>
        <w:t>Total Possible = 8.0. Approval is 100%. If threshold &gt; 50%, the resolution passes. If Executives vote No, Confidence drops to (6.0 / 8.0) = 75%, passing with friction.</w:t>
      </w:r>
    </w:p>
    <w:p>
      <w:r>
        <w:br w:type="page"/>
      </w:r>
    </w:p>
    <w:p>
      <w:pPr>
        <w:pStyle w:val="Heading1"/>
      </w:pPr>
      <w:r>
        <w:t>5. Organisational Politics Layer (org_politics.py)</w:t>
      </w:r>
    </w:p>
    <w:p>
      <w:pPr>
        <w:pStyle w:val="Heading2"/>
      </w:pPr>
      <w:r>
        <w:t>Purpose</w:t>
      </w:r>
    </w:p>
    <w:p>
      <w:r>
        <w:t>Injects internal stakeholder friction, ensuring that decisions are not executed in a vacuum.</w:t>
      </w:r>
    </w:p>
    <w:p>
      <w:pPr>
        <w:pStyle w:val="Heading2"/>
      </w:pPr>
      <w:r>
        <w:t>Integration &amp; Operationalisation</w:t>
      </w:r>
    </w:p>
    <w:p>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pPr>
        <w:pStyle w:val="Heading2"/>
      </w:pPr>
      <w:r>
        <w:t>Theoretical Foundation</w:t>
      </w:r>
    </w:p>
    <w:p>
      <w:r>
        <w:t>Informed by Pfeffer (1992) on managing with power, Cyert &amp; March's (1963) behavioral theory of the firm, and Mintzberg (1983).</w:t>
      </w:r>
    </w:p>
    <w:p>
      <w:pPr>
        <w:pStyle w:val="Heading2"/>
      </w:pPr>
      <w:r>
        <w:t>Sample Calculations &amp; Walkthrough</w:t>
      </w:r>
    </w:p>
    <w:p>
      <w:r>
        <w:rPr>
          <w:rFonts w:ascii="Courier New" w:hAnsi="Courier New"/>
        </w:rPr>
        <w:t>Coalition Support Score:</w:t>
        <w:br/>
        <w:t>Support = Σ (C_Suite_Member_Influence * Alignment_Score)</w:t>
        <w:br/>
        <w:br/>
        <w:t>Example Walkthrough:</w:t>
        <w:br/>
        <w:t>A player pushes a costly ESG initiative. The CFO has high influence (0.4) but low alignment (0.2). The COO has medium influence (0.3) but high alignment (0.9).</w:t>
        <w:br/>
        <w:t>Support = (0.4 * 0.2) + (0.3 * 0.9) = 0.08 + 0.27 = 0.35.</w:t>
        <w:br/>
        <w:t>If the threshold to prevent implementation delays is 0.5, the initiative will launch but suffer severe friction penalties.</w:t>
      </w:r>
    </w:p>
    <w:p>
      <w:r>
        <w:br w:type="page"/>
      </w:r>
    </w:p>
    <w:p>
      <w:pPr>
        <w:pStyle w:val="Heading1"/>
      </w:pPr>
      <w:r>
        <w:t>6. TCFD Scenarios Engine (tcfd_scenarios.py)</w:t>
      </w:r>
    </w:p>
    <w:p>
      <w:pPr>
        <w:pStyle w:val="Heading2"/>
      </w:pPr>
      <w:r>
        <w:t>Purpose</w:t>
      </w:r>
    </w:p>
    <w:p>
      <w:r>
        <w:t>Provides a rigorous transition risk and physical risk forecasting tool.</w:t>
      </w:r>
    </w:p>
    <w:p>
      <w:pPr>
        <w:pStyle w:val="Heading2"/>
      </w:pPr>
      <w:r>
        <w:t>Integration &amp; Operationalisation</w:t>
      </w:r>
    </w:p>
    <w:p>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pPr>
        <w:pStyle w:val="Heading2"/>
      </w:pPr>
      <w:r>
        <w:t>Theoretical Foundation</w:t>
      </w:r>
    </w:p>
    <w:p>
      <w:r>
        <w:t>Directly compliant with the Task Force on Climate-related Financial Disclosures (TCFD) 2017 recommendations, Network for Greening the Financial System (NGFS) scenarios, and IEA WEO baselines.</w:t>
      </w:r>
    </w:p>
    <w:p>
      <w:pPr>
        <w:pStyle w:val="Heading2"/>
      </w:pPr>
      <w:r>
        <w:t>Sample Calculations &amp; Walkthrough</w:t>
      </w:r>
    </w:p>
    <w:p>
      <w:r>
        <w:rPr>
          <w:rFonts w:ascii="Courier New" w:hAnsi="Courier New"/>
        </w:rPr>
        <w:t>Value at Risk (VaR) under a 2°C Scenario:</w:t>
        <w:br/>
        <w:t>VaR_2C = Current_Portfolio_Value - (Carbon_Tax_Projections + Physical_Damage_Estimates)</w:t>
        <w:br/>
        <w:br/>
        <w:t>Example Walkthrough:</w:t>
        <w:br/>
        <w:t>A $500M portfolio is stress-tested. The 2°C pathway models a $90/ton carbon tax resulting in $45M in tax liabilities, and increased severe weather events mapping to $15M in physical asset damage.</w:t>
        <w:br/>
        <w:t>VaR_2C = $500M - ($45M + $15M) = $440M Projected Value (a 12% impairment).</w:t>
      </w:r>
    </w:p>
    <w:p>
      <w:r>
        <w:br w:type="page"/>
      </w:r>
    </w:p>
    <w:p>
      <w:pPr>
        <w:pStyle w:val="Heading1"/>
      </w:pPr>
      <w:r>
        <w:t>7. Regulatory Sandbox Mode (regulatory_sandbox.py)</w:t>
      </w:r>
    </w:p>
    <w:p>
      <w:pPr>
        <w:pStyle w:val="Heading2"/>
      </w:pPr>
      <w:r>
        <w:t>Purpose</w:t>
      </w:r>
    </w:p>
    <w:p>
      <w:r>
        <w:t>An expert-tier capability allowing facilitators and students to design and inject custom regulations.</w:t>
      </w:r>
    </w:p>
    <w:p>
      <w:pPr>
        <w:pStyle w:val="Heading2"/>
      </w:pPr>
      <w:r>
        <w:t>Integration &amp; Operationalisation</w:t>
      </w:r>
    </w:p>
    <w:p>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pPr>
        <w:pStyle w:val="Heading2"/>
      </w:pPr>
      <w:r>
        <w:t>Theoretical Foundation</w:t>
      </w:r>
    </w:p>
    <w:p>
      <w:r>
        <w:t>Based on Pigouvian taxation (Pigou, 1920), Coasian property rights and externalities (Coase, 1960), and polycentric governance models (Ostrom, 2009).</w:t>
      </w:r>
    </w:p>
    <w:p>
      <w:pPr>
        <w:pStyle w:val="Heading2"/>
      </w:pPr>
      <w:r>
        <w:t>Sample Calculations &amp; Walkthrough</w:t>
      </w:r>
    </w:p>
    <w:p>
      <w:r>
        <w:rPr>
          <w:rFonts w:ascii="Courier New" w:hAnsi="Courier New"/>
        </w:rPr>
        <w:t>Pigouvian Tax Penalty Injection:</w:t>
        <w:br/>
        <w:t>Penalty = BU_Carbon_Emissions * Custom_Tax_Rate_Per_Ton</w:t>
        <w:br/>
        <w:br/>
        <w:t>Example Walkthrough:</w:t>
        <w:br/>
        <w:t>A facilitator introduces an aggressive $85/ton carbon tax to a session. A Business Unit emitting 50,000 tons of CO2e annually:</w:t>
        <w:br/>
        <w:t>Penalty = 50,000 * 85 = $4,250,000.</w:t>
        <w:br/>
        <w:t>This is immediately deducted from the corporate treasury and hits the BU's net margin, forcing an immediate pivot in player strategy.</w:t>
      </w:r>
    </w:p>
    <w:p>
      <w:r>
        <w:br w:type="page"/>
      </w:r>
    </w:p>
    <w:p>
      <w:pPr>
        <w:pStyle w:val="Heading1"/>
      </w:pPr>
      <w:r>
        <w:t>8. Cross-Player Market Dynamics (market_dynamics.py)</w:t>
      </w:r>
    </w:p>
    <w:p>
      <w:pPr>
        <w:pStyle w:val="Heading2"/>
      </w:pPr>
      <w:r>
        <w:t>Purpose</w:t>
      </w:r>
    </w:p>
    <w:p>
      <w:r>
        <w:t>Replaces absolute scoring with a relative competitive environment for multiplayer cohorts.</w:t>
      </w:r>
    </w:p>
    <w:p>
      <w:pPr>
        <w:pStyle w:val="Heading2"/>
      </w:pPr>
      <w:r>
        <w:t>Integration &amp; Operationalisation</w:t>
      </w:r>
    </w:p>
    <w:p>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pPr>
        <w:pStyle w:val="Heading2"/>
      </w:pPr>
      <w:r>
        <w:t>Theoretical Foundation</w:t>
      </w:r>
    </w:p>
    <w:p>
      <w:r>
        <w:t>Rooted in Porter’s Five Forces (1980), Schelling’s strategy of conflict (1960), and Akerlof’s (1970) market for lemons (information asymmetry).</w:t>
      </w:r>
    </w:p>
    <w:p>
      <w:pPr>
        <w:pStyle w:val="Heading2"/>
      </w:pPr>
      <w:r>
        <w:t>Sample Calculations &amp; Walkthrough</w:t>
      </w:r>
    </w:p>
    <w:p>
      <w:r>
        <w:rPr>
          <w:rFonts w:ascii="Courier New" w:hAnsi="Courier New"/>
        </w:rPr>
        <w:t>Market Share Reallocation:</w:t>
        <w:br/>
        <w:t>New_Share = Base_Share + (Relative_Reputation_Advantage * 0.1) - Information_Asymmetry_Penalty</w:t>
        <w:br/>
        <w:br/>
        <w:t>Example Walkthrough:</w:t>
        <w:br/>
        <w:t>Player A has a base share of 20%. Their reputation score is 80, while the cohort average is 60. They have transparent reporting, so asymmetry penalty is 0.</w:t>
        <w:br/>
        <w:t>New_Share = 20% + ( (80 - 60) / 100 * 0.1 ) - 0</w:t>
        <w:br/>
        <w:t>New_Share = 0.20 + (0.2 * 0.1) = 0.22 (22% Market Share).</w:t>
      </w:r>
    </w:p>
    <w:p>
      <w:r>
        <w:br w:type="page"/>
      </w:r>
    </w:p>
    <w:p>
      <w:pPr>
        <w:pStyle w:val="Heading1"/>
      </w:pPr>
      <w:r>
        <w:t>9. AI-Driven NPC Stakeholders (npc_stakeholders.py)</w:t>
      </w:r>
    </w:p>
    <w:p>
      <w:pPr>
        <w:pStyle w:val="Heading2"/>
      </w:pPr>
      <w:r>
        <w:t>Purpose</w:t>
      </w:r>
    </w:p>
    <w:p>
      <w:r>
        <w:t>Provides highly reactive, lifelike pressure from activists, regulators, and media.</w:t>
      </w:r>
    </w:p>
    <w:p>
      <w:pPr>
        <w:pStyle w:val="Heading2"/>
      </w:pPr>
      <w:r>
        <w:t>Integration &amp; Operationalisation</w:t>
      </w:r>
    </w:p>
    <w:p>
      <w:r>
        <w:t>A hybrid engine. It uses deterministic math to calculate 'Salience'. If salience breaches a critical threshold, it triggers an LLM generation pipeline to formulate custom-tailored dialogue, press releases, or regulatory warnings based on the player's specific missteps.</w:t>
      </w:r>
    </w:p>
    <w:p>
      <w:pPr>
        <w:pStyle w:val="Heading2"/>
      </w:pPr>
      <w:r>
        <w:t>Theoretical Foundation</w:t>
      </w:r>
    </w:p>
    <w:p>
      <w:r>
        <w:t>Based on Mitchell et al. (1997) Stakeholder Salience framework (Power, Legitimacy, Urgency) and Fassin's (2009) theories on stakeholder management.</w:t>
      </w:r>
    </w:p>
    <w:p>
      <w:pPr>
        <w:pStyle w:val="Heading2"/>
      </w:pPr>
      <w:r>
        <w:t>Sample Calculations &amp; Walkthrough</w:t>
      </w:r>
    </w:p>
    <w:p>
      <w:r>
        <w:rPr>
          <w:rFonts w:ascii="Courier New" w:hAnsi="Courier New"/>
        </w:rPr>
        <w:t>Stakeholder Salience Index:</w:t>
        <w:br/>
        <w:t>Salience = Power_Score + Legitimacy_Score + Urgency_Score</w:t>
        <w:br/>
        <w:br/>
        <w:t>Example Walkthrough:</w:t>
        <w:br/>
        <w:t>An Activist Investor coalition forms. Power is high (3), their cause is legitimate due to a recent pollution leak (2), and the deadline for the AGM is near, making it urgent (5).</w:t>
        <w:br/>
        <w:t>Salience = 3 + 2 + 5 = 10.</w:t>
        <w:br/>
        <w:t>A score over 8 triggers an active 'Crisis Event' in the UI with LLM-generated demands.</w:t>
      </w:r>
    </w:p>
    <w:p>
      <w:r>
        <w:br w:type="page"/>
      </w:r>
    </w:p>
    <w:p>
      <w:pPr>
        <w:pStyle w:val="Heading1"/>
      </w:pPr>
      <w:r>
        <w:t>10. Dynamic Case Injection (dynamic_cases.py)</w:t>
      </w:r>
    </w:p>
    <w:p>
      <w:pPr>
        <w:pStyle w:val="Heading2"/>
      </w:pPr>
      <w:r>
        <w:t>Purpose</w:t>
      </w:r>
    </w:p>
    <w:p>
      <w:r>
        <w:t>Contextualizes learning by surfacing the most relevant real-world case studies at the exact moment of failure.</w:t>
      </w:r>
    </w:p>
    <w:p>
      <w:pPr>
        <w:pStyle w:val="Heading2"/>
      </w:pPr>
      <w:r>
        <w:t>Integration &amp; Operationalisation</w:t>
      </w:r>
    </w:p>
    <w:p>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pPr>
        <w:pStyle w:val="Heading2"/>
      </w:pPr>
      <w:r>
        <w:t>Theoretical Foundation</w:t>
      </w:r>
    </w:p>
    <w:p>
      <w:r>
        <w:t>Supported by the Transfer of Training framework (Baldwin &amp; Ford, 1988), Kolb’s (1984) experiential learning cycle, and Schön’s reflective practice.</w:t>
      </w:r>
    </w:p>
    <w:p>
      <w:pPr>
        <w:pStyle w:val="Heading2"/>
      </w:pPr>
      <w:r>
        <w:t>Sample Calculations &amp; Walkthrough</w:t>
      </w:r>
    </w:p>
    <w:p>
      <w:r>
        <w:rPr>
          <w:rFonts w:ascii="Courier New" w:hAnsi="Courier New"/>
        </w:rPr>
        <w:t>Transfer Relevance Score Calculation:</w:t>
        <w:br/>
        <w:t>Relevance = (Industry_Vector_Match * 0.6) + (Crisis_Type_Match * 0.4)</w:t>
        <w:br/>
        <w:br/>
        <w:t>Example Walkthrough:</w:t>
        <w:br/>
        <w:t>A pharmaceutical player faces a supply chain disruption. A historical case study on a tech company supply chain is evaluated.</w:t>
        <w:br/>
        <w:t>Industry Match (Pharma vs Tech) = 0.2. Crisis Match (Supply Chain vs Supply Chain) = 0.9.</w:t>
        <w:br/>
        <w:t>Relevance = (0.2 * 0.6) + (0.9 * 0.4) = 0.12 + 0.36 = 0.48. (Score is too low; engine searches for a better fit or generates a generic pharma-specific one).</w:t>
      </w:r>
    </w:p>
    <w:p>
      <w:r>
        <w:br w:type="page"/>
      </w:r>
    </w:p>
    <w:p>
      <w:pPr>
        <w:pStyle w:val="Heading1"/>
      </w:pPr>
      <w:r>
        <w:t>11. Non-Linear Branching Engine (branching_engine.py)</w:t>
      </w:r>
    </w:p>
    <w:p>
      <w:pPr>
        <w:pStyle w:val="Heading2"/>
      </w:pPr>
      <w:r>
        <w:t>Purpose</w:t>
      </w:r>
    </w:p>
    <w:p>
      <w:r>
        <w:t>Creates replayability and personalized difficulty curves by analyzing early-game behavior.</w:t>
      </w:r>
    </w:p>
    <w:p>
      <w:pPr>
        <w:pStyle w:val="Heading2"/>
      </w:pPr>
      <w:r>
        <w:t>Integration &amp; Operationalisation</w:t>
      </w:r>
    </w:p>
    <w:p>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pPr>
        <w:pStyle w:val="Heading2"/>
      </w:pPr>
      <w:r>
        <w:t>Theoretical Foundation</w:t>
      </w:r>
    </w:p>
    <w:p>
      <w:r>
        <w:t>Follows Mintzberg’s (1987) Strategy as Pattern and Snowden’s (2007) Cynefin Framework to transition players from complicated (predictable) environments to complex (unpredictable) ones based on their appetite for risk.</w:t>
      </w:r>
    </w:p>
    <w:p>
      <w:pPr>
        <w:pStyle w:val="Heading2"/>
      </w:pPr>
      <w:r>
        <w:t>Sample Calculations &amp; Walkthrough</w:t>
      </w:r>
    </w:p>
    <w:p>
      <w:r>
        <w:rPr>
          <w:rFonts w:ascii="Courier New" w:hAnsi="Courier New"/>
        </w:rPr>
        <w:t>Archetype Classification Ratio:</w:t>
        <w:br/>
        <w:t>Exploration_Ratio = Innovative_Decisions_Count / Total_Decisions</w:t>
        <w:br/>
        <w:br/>
        <w:t>Example Walkthrough:</w:t>
        <w:br/>
        <w:t>A player makes 15 decisions in the first half of the game. 12 of them are high-risk, innovative ESG pivots.</w:t>
        <w:br/>
        <w:t>Exploration_Ratio = 12 / 15 = 0.8.</w:t>
        <w:br/>
        <w:t>Because the ratio &gt; 0.7, the engine locks them into the 'Pioneer' branch. Late-game events will feature cutting-edge tech failures rather than basic compliance fines.</w:t>
      </w:r>
    </w:p>
    <w:p>
      <w:r>
        <w:br w:type="page"/>
      </w:r>
    </w:p>
    <w:p>
      <w:pPr>
        <w:pStyle w:val="Heading1"/>
      </w:pPr>
      <w:r>
        <w:t>12. Supply Chain Network Model (supply_chain_network.py)</w:t>
      </w:r>
    </w:p>
    <w:p>
      <w:pPr>
        <w:pStyle w:val="Heading2"/>
      </w:pPr>
      <w:r>
        <w:t>Purpose</w:t>
      </w:r>
    </w:p>
    <w:p>
      <w:r>
        <w:t>Models cascading risks deep within the value chain, rather than treating suppliers as a generic toggle.</w:t>
      </w:r>
    </w:p>
    <w:p>
      <w:pPr>
        <w:pStyle w:val="Heading2"/>
      </w:pPr>
      <w:r>
        <w:t>Integration &amp; Operationalisation</w:t>
      </w:r>
    </w:p>
    <w:p>
      <w:r>
        <w:t>Maintains a multi-tier directed graph (Tier 1, 2, and 3 suppliers). It tracks visibility and dependency across the network. A failure at Tier 3 (e.g., a localized flood or labor strike) cascades upward, penalized by the lack of visibility the player has invested in.</w:t>
      </w:r>
    </w:p>
    <w:p>
      <w:pPr>
        <w:pStyle w:val="Heading2"/>
      </w:pPr>
      <w:r>
        <w:t>Theoretical Foundation</w:t>
      </w:r>
    </w:p>
    <w:p>
      <w:r>
        <w:t>Integrates Christopher &amp; Peck’s (2004) Supply Chain Resilience framework, Chopra &amp; Sodhi (2004) risk matrices, and compliance with the EU Corporate Sustainability Due Diligence Directive (CS3D).</w:t>
      </w:r>
    </w:p>
    <w:p>
      <w:pPr>
        <w:pStyle w:val="Heading2"/>
      </w:pPr>
      <w:r>
        <w:t>Sample Calculations &amp; Walkthrough</w:t>
      </w:r>
    </w:p>
    <w:p>
      <w:r>
        <w:rPr>
          <w:rFonts w:ascii="Courier New" w:hAnsi="Courier New"/>
        </w:rPr>
        <w:t>Cascading Risk Exposure Calculation:</w:t>
        <w:br/>
        <w:t>Tier_1_Risk = Direct_Risk + (Tier_2_Risk * Visibility_Discount) + (Tier_3_Risk * (Visibility_Discount^2))</w:t>
        <w:br/>
        <w:br/>
        <w:t>Example Walkthrough:</w:t>
        <w:br/>
        <w:t>A company faces 10% direct operational risk. Tier 2 suppliers face 40% risk, and Tier 3 faces 80% risk. The company has poor visibility (0.5 discount factor meaning 50% of risk bleeds through).</w:t>
        <w:br/>
        <w:t>Tier_1_Risk = 10% + (40% * 0.5) + (80% * (0.5^2))</w:t>
        <w:br/>
        <w:t>Tier_1_Risk = 10% + 20% + (80% * 0.25)</w:t>
        <w:br/>
        <w:t>Tier_1_Risk = 10% + 20% + 20% = 50% Total Cascaded Risk Exposure.</w:t>
      </w:r>
    </w:p>
    <w:p>
      <w:r>
        <w:br w:type="page"/>
      </w:r>
    </w:p>
    <w:p>
      <w:pPr>
        <w:pStyle w:val="Title"/>
        <w:jc w:val="center"/>
      </w:pPr>
      <w:r>
        <w:t>Frontend Integration &amp; Component Mapping</w:t>
      </w:r>
    </w:p>
    <w:p>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pPr>
        <w:pStyle w:val="Heading1"/>
      </w:pPr>
      <w:r>
        <w:t>Component: BoardroomShowdown.js</w:t>
      </w:r>
    </w:p>
    <w:p>
      <w:pPr>
        <w:pStyle w:val="Heading2"/>
      </w:pPr>
      <w:r>
        <w:t>Backend Engine Link</w:t>
      </w:r>
    </w:p>
    <w:p>
      <w:r>
        <w:t>Board Governance (board_governance.py) &amp; Org Politics (org_politics.py)</w:t>
      </w:r>
    </w:p>
    <w:p>
      <w:pPr>
        <w:pStyle w:val="Heading2"/>
      </w:pPr>
      <w:r>
        <w:t>UI/UX Operationalisation</w:t>
      </w:r>
    </w:p>
    <w:p>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pPr>
        <w:pStyle w:val="Heading1"/>
      </w:pPr>
      <w:r>
        <w:t>Component: StrategicPillarsWorkspace.js</w:t>
      </w:r>
    </w:p>
    <w:p>
      <w:pPr>
        <w:pStyle w:val="Heading2"/>
      </w:pPr>
      <w:r>
        <w:t>Backend Engine Link</w:t>
      </w:r>
    </w:p>
    <w:p>
      <w:r>
        <w:t>Branching Engine (branching_engine.py) &amp; Meadows Leverage (meadows_leverage.py)</w:t>
      </w:r>
    </w:p>
    <w:p>
      <w:pPr>
        <w:pStyle w:val="Heading2"/>
      </w:pPr>
      <w:r>
        <w:t>UI/UX Operationalisation</w:t>
      </w:r>
    </w:p>
    <w:p>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pPr>
        <w:pStyle w:val="Heading1"/>
      </w:pPr>
      <w:r>
        <w:t>Component: UniversalBroadcast.js</w:t>
      </w:r>
    </w:p>
    <w:p>
      <w:pPr>
        <w:pStyle w:val="Heading2"/>
      </w:pPr>
      <w:r>
        <w:t>Backend Engine Link</w:t>
      </w:r>
    </w:p>
    <w:p>
      <w:r>
        <w:t>NPC Stakeholders (npc_stakeholders.py) &amp; Dynamic Cases (dynamic_cases.py)</w:t>
      </w:r>
    </w:p>
    <w:p>
      <w:pPr>
        <w:pStyle w:val="Heading2"/>
      </w:pPr>
      <w:r>
        <w:t>UI/UX Operationalisation</w:t>
      </w:r>
    </w:p>
    <w:p>
      <w:r>
        <w:t>The primary notification delivery system for the simulation. When the NPC Stakeholders engine calculates a Salience score &gt; 8, it fires an event to UniversalBroadcast.js, which renders the LLM-generated activist demands or regulatory fines. It also displays the contextually injected real-world case studies generated by dynamic_cases.py when players encounter specific crises.</w:t>
      </w:r>
    </w:p>
    <w:p>
      <w:pPr>
        <w:pStyle w:val="Heading1"/>
      </w:pPr>
      <w:r>
        <w:t>Component: StochasticDiceRoll.js</w:t>
      </w:r>
    </w:p>
    <w:p>
      <w:pPr>
        <w:pStyle w:val="Heading2"/>
      </w:pPr>
      <w:r>
        <w:t>Backend Engine Link</w:t>
      </w:r>
    </w:p>
    <w:p>
      <w:r>
        <w:t>Market Dynamics (market_dynamics.py) &amp; TCFD Scenarios (tcfd_scenarios.py)</w:t>
      </w:r>
    </w:p>
    <w:p>
      <w:pPr>
        <w:pStyle w:val="Heading2"/>
      </w:pPr>
      <w:r>
        <w:t>UI/UX Operationalisation</w:t>
      </w:r>
    </w:p>
    <w:p>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pPr>
        <w:pStyle w:val="Heading1"/>
      </w:pPr>
      <w:r>
        <w:t>Component: ArchetypeEditor.js &amp; ExecutiveCockpit.module.css</w:t>
      </w:r>
    </w:p>
    <w:p>
      <w:pPr>
        <w:pStyle w:val="Heading2"/>
      </w:pPr>
      <w:r>
        <w:t>Backend Engine Link</w:t>
      </w:r>
    </w:p>
    <w:p>
      <w:r>
        <w:t>Balance Sheet Engine (balance_sheet.py) &amp; Biodiversity Engine (biodiversity_engine.py)</w:t>
      </w:r>
    </w:p>
    <w:p>
      <w:pPr>
        <w:pStyle w:val="Heading2"/>
      </w:pPr>
      <w:r>
        <w:t>UI/UX Operationalisation</w:t>
      </w:r>
    </w:p>
    <w:p>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