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MURESSONS GLOBAL COMMAND</w:t>
      </w:r>
    </w:p>
    <w:p>
      <w:pPr>
        <w:jc w:val="center"/>
      </w:pPr>
      <w:r>
        <w:rPr>
          <w:b/>
          <w:color w:val="4A4A4A"/>
          <w:sz w:val="36"/>
        </w:rPr>
        <w:t>Technical Glossary &amp; Mathematical Reference</w:t>
      </w:r>
    </w:p>
    <w:p>
      <w:pPr>
        <w:jc w:val="center"/>
      </w:pPr>
      <w:r>
        <w:rPr>
          <w:color w:val="666666"/>
          <w:sz w:val="24"/>
        </w:rPr>
        <w:t>Simulation Engine v6.0 — Comprehensive Formula Documentation</w:t>
      </w:r>
    </w:p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pStyle w:val="ListNumber"/>
      </w:pPr>
      <w:r>
        <w:t>1. Corporate Strategic Fund (CSF)</w:t>
      </w:r>
    </w:p>
    <w:p>
      <w:pPr>
        <w:pStyle w:val="ListNumber"/>
      </w:pPr>
      <w:r>
        <w:t>2. Contagion Engine (Sigmoid Model)</w:t>
      </w:r>
    </w:p>
    <w:p>
      <w:pPr>
        <w:pStyle w:val="ListNumber"/>
      </w:pPr>
      <w:r>
        <w:t>3. Synergy Engine (Diminishing Returns)</w:t>
      </w:r>
    </w:p>
    <w:p>
      <w:pPr>
        <w:pStyle w:val="ListNumber"/>
      </w:pPr>
      <w:r>
        <w:t>4. Natural Capital Cost of Debt</w:t>
      </w:r>
    </w:p>
    <w:p>
      <w:pPr>
        <w:pStyle w:val="ListNumber"/>
      </w:pPr>
      <w:r>
        <w:t>5. VRIO Decay Function</w:t>
      </w:r>
    </w:p>
    <w:p>
      <w:pPr>
        <w:pStyle w:val="ListNumber"/>
      </w:pPr>
      <w:r>
        <w:t>6. Burnout Accumulation Engine</w:t>
      </w:r>
    </w:p>
    <w:p>
      <w:pPr>
        <w:pStyle w:val="ListNumber"/>
      </w:pPr>
      <w:r>
        <w:t>7. Workforce Readiness Engine</w:t>
      </w:r>
    </w:p>
    <w:p>
      <w:pPr>
        <w:pStyle w:val="ListNumber"/>
      </w:pPr>
      <w:r>
        <w:t>8. Talent Brain-Drain Engine</w:t>
      </w:r>
    </w:p>
    <w:p>
      <w:pPr>
        <w:pStyle w:val="ListNumber"/>
      </w:pPr>
      <w:r>
        <w:t>9. Strike Probability Engine</w:t>
      </w:r>
    </w:p>
    <w:p>
      <w:pPr>
        <w:pStyle w:val="ListNumber"/>
      </w:pPr>
      <w:r>
        <w:t>10. Natural Decay (Entropy)</w:t>
      </w:r>
    </w:p>
    <w:p>
      <w:pPr>
        <w:pStyle w:val="ListNumber"/>
      </w:pPr>
      <w:r>
        <w:t>11. Macroeconomic Inflation Engine</w:t>
      </w:r>
    </w:p>
    <w:p>
      <w:pPr>
        <w:pStyle w:val="ListNumber"/>
      </w:pPr>
      <w:r>
        <w:t>12. Execution Overrun Risk</w:t>
      </w:r>
    </w:p>
    <w:p>
      <w:pPr>
        <w:pStyle w:val="ListNumber"/>
      </w:pPr>
      <w:r>
        <w:t>13. Technical Debt Engine</w:t>
      </w:r>
    </w:p>
    <w:p>
      <w:pPr>
        <w:pStyle w:val="ListNumber"/>
      </w:pPr>
      <w:r>
        <w:t>14. Revenue Cannibalization</w:t>
      </w:r>
    </w:p>
    <w:p>
      <w:pPr>
        <w:pStyle w:val="ListNumber"/>
      </w:pPr>
      <w:r>
        <w:t>15. Stakeholder Fatigue Engine</w:t>
      </w:r>
    </w:p>
    <w:p>
      <w:pPr>
        <w:pStyle w:val="ListNumber"/>
      </w:pPr>
      <w:r>
        <w:t>16. Supply Chain Contagion</w:t>
      </w:r>
    </w:p>
    <w:p>
      <w:pPr>
        <w:pStyle w:val="ListNumber"/>
      </w:pPr>
      <w:r>
        <w:t>17. Competitive NPC Index</w:t>
      </w:r>
    </w:p>
    <w:p>
      <w:pPr>
        <w:pStyle w:val="ListNumber"/>
      </w:pPr>
      <w:r>
        <w:t>18. Cash Conversion / Working Capital</w:t>
      </w:r>
    </w:p>
    <w:p>
      <w:pPr>
        <w:pStyle w:val="ListNumber"/>
      </w:pPr>
      <w:r>
        <w:t>19. Dividend Ratchet Engine</w:t>
      </w:r>
    </w:p>
    <w:p>
      <w:pPr>
        <w:pStyle w:val="ListNumber"/>
      </w:pPr>
      <w:r>
        <w:t>20. Talent Allocation Pressure</w:t>
      </w:r>
    </w:p>
    <w:p>
      <w:pPr>
        <w:pStyle w:val="ListNumber"/>
      </w:pPr>
      <w:r>
        <w:t>21. Technology Lock-In Engine</w:t>
      </w:r>
    </w:p>
    <w:p>
      <w:pPr>
        <w:pStyle w:val="ListNumber"/>
      </w:pPr>
      <w:r>
        <w:t>22. ESG Greenwashing Risk</w:t>
      </w:r>
    </w:p>
    <w:p>
      <w:pPr>
        <w:pStyle w:val="ListNumber"/>
      </w:pPr>
      <w:r>
        <w:t>23. Macro Interest Rate Environment</w:t>
      </w:r>
    </w:p>
    <w:p>
      <w:pPr>
        <w:pStyle w:val="ListNumber"/>
      </w:pPr>
      <w:r>
        <w:t>24. FX Risk Engine</w:t>
      </w:r>
    </w:p>
    <w:p>
      <w:pPr>
        <w:pStyle w:val="ListNumber"/>
      </w:pPr>
      <w:r>
        <w:t>25. DSO / Working Capital Timing</w:t>
      </w:r>
    </w:p>
    <w:p>
      <w:pPr>
        <w:pStyle w:val="ListNumber"/>
      </w:pPr>
      <w:r>
        <w:t>26. Macro-Economic Noise</w:t>
      </w:r>
    </w:p>
    <w:p>
      <w:pPr>
        <w:pStyle w:val="ListNumber"/>
      </w:pPr>
      <w:r>
        <w:t>27. Turnaround Pathway (3-Act Arc)</w:t>
      </w:r>
    </w:p>
    <w:p>
      <w:pPr>
        <w:pStyle w:val="ListNumber"/>
      </w:pPr>
      <w:r>
        <w:t>28. Severity Classification</w:t>
      </w:r>
    </w:p>
    <w:p>
      <w:pPr>
        <w:pStyle w:val="ListNumber"/>
      </w:pPr>
      <w:r>
        <w:t>29. Momentum Score</w:t>
      </w:r>
    </w:p>
    <w:p>
      <w:pPr>
        <w:pStyle w:val="ListNumber"/>
      </w:pPr>
      <w:r>
        <w:t>30. Terminal Valuation &amp; Mᵣ</w:t>
      </w:r>
    </w:p>
    <w:p>
      <w:pPr>
        <w:pStyle w:val="ListNumber"/>
      </w:pPr>
      <w:r>
        <w:t>31. Archetype Determination</w:t>
      </w:r>
    </w:p>
    <w:p>
      <w:pPr>
        <w:pStyle w:val="ListNumber"/>
      </w:pPr>
      <w:r>
        <w:t>32. CEO Interview Scoring</w:t>
      </w:r>
    </w:p>
    <w:p>
      <w:pPr>
        <w:pStyle w:val="ListNumber"/>
      </w:pPr>
      <w:r>
        <w:t>33. Score Blending Framework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Corporate Strategic Fund (CSF)</w:t>
      </w:r>
    </w:p>
    <w:p>
      <w:r>
        <w:t>The CSF represents the net operating cash flow available for reinvestment each round.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CSF = Σ(Revenueᵢ − OPEXᵢ) − Dividends_Paid</w:t>
      </w:r>
    </w:p>
    <w:p>
      <w:pPr>
        <w:ind w:left="432"/>
      </w:pPr>
      <w:r>
        <w:t>Where Revenueᵢ and OPEXᵢ are the revenue and operating expenditure of each Business Unit i.</w:t>
      </w:r>
    </w:p>
    <w:p>
      <w:pPr>
        <w:ind w:left="432"/>
      </w:pPr>
      <w:r>
        <w:t>Mutation: Updates global_round_states.corporate_treasury</w:t>
      </w:r>
    </w:p>
    <w:p>
      <w:pPr>
        <w:ind w:left="432"/>
      </w:pPr>
      <w:r>
        <w:t>Loan Trigger: If total CAPEX &gt; 20% of treasury, a short-term loan is triggered at 12% interest.</w:t>
      </w:r>
    </w:p>
    <w:p>
      <w:pPr>
        <w:ind w:left="432"/>
      </w:pPr>
      <w:r>
        <w:t>Hardening: dividends_paid clamped to treasury balance (VULN-001); total CAPEX capped at 2× treasury (VULN-006).</w:t>
      </w:r>
    </w:p>
    <w:p>
      <w:pPr>
        <w:pStyle w:val="Heading1"/>
      </w:pPr>
      <w:r>
        <w:rPr>
          <w:color w:val="1A3C6E"/>
        </w:rPr>
        <w:t>2. Contagion Engine (Sigmoid Model)</w:t>
      </w:r>
    </w:p>
    <w:p>
      <w:r>
        <w:t>Models crisis reputation propagation using an S-curve for realistic non-linear damage.</w:t>
      </w:r>
    </w:p>
    <w:p>
      <w:r>
        <w:rPr>
          <w:b/>
          <w:sz w:val="22"/>
        </w:rPr>
        <w:t xml:space="preserve">Sigmoid Function: </w:t>
      </w:r>
      <w:r>
        <w:rPr>
          <w:rFonts w:ascii="Cambria Math" w:hAnsi="Cambria Math"/>
          <w:i/>
          <w:color w:val="8B0000"/>
          <w:sz w:val="24"/>
        </w:rPr>
        <w:t>σ(x) = 1 / (1 + e⁻ˣ)</w:t>
      </w:r>
    </w:p>
    <w:p>
      <w:r>
        <w:rPr>
          <w:b/>
          <w:sz w:val="22"/>
        </w:rPr>
        <w:t xml:space="preserve">Sigmoid Input: </w:t>
      </w:r>
      <w:r>
        <w:rPr>
          <w:rFonts w:ascii="Cambria Math" w:hAnsi="Cambria Math"/>
          <w:i/>
          <w:color w:val="8B0000"/>
          <w:sz w:val="24"/>
        </w:rPr>
        <w:t>x = (Crisis_Severity − 30) / 15</w:t>
      </w:r>
    </w:p>
    <w:p>
      <w:r>
        <w:rPr>
          <w:b/>
          <w:sz w:val="22"/>
        </w:rPr>
        <w:t xml:space="preserve">Group Reputation: </w:t>
      </w:r>
      <w:r>
        <w:rPr>
          <w:rFonts w:ascii="Cambria Math" w:hAnsi="Cambria Math"/>
          <w:i/>
          <w:color w:val="8B0000"/>
          <w:sz w:val="24"/>
        </w:rPr>
        <w:t>Group_Rep = Avg_BU_Rep − 50 × σ(x)</w:t>
      </w:r>
    </w:p>
    <w:p>
      <w:pPr>
        <w:ind w:left="432"/>
      </w:pPr>
      <w:r>
        <w:t>Result clamped to [0, 100].</w:t>
      </w:r>
    </w:p>
    <w:p>
      <w:pPr>
        <w:ind w:left="432"/>
      </w:pPr>
      <w:r>
        <w:t>Low severity (&lt;15): minimal impact. Medium (20-40): rapid erosion. High (&gt;50): saturating damage.</w:t>
      </w:r>
    </w:p>
    <w:p>
      <w:pPr>
        <w:ind w:left="432"/>
      </w:pPr>
      <w:r>
        <w:t>Crisis_severity floored at 0 (VULN-003).</w:t>
      </w:r>
    </w:p>
    <w:p>
      <w:pPr>
        <w:pStyle w:val="Heading1"/>
      </w:pPr>
      <w:r>
        <w:rPr>
          <w:color w:val="1A3C6E"/>
        </w:rPr>
        <w:t>3. Synergy Engine (Diminishing Returns)</w:t>
      </w:r>
    </w:p>
    <w:p>
      <w:r>
        <w:t>OPEX reduction via investment, with sqrt scaling for diminishing marginal returns.</w:t>
      </w:r>
    </w:p>
    <w:p>
      <w:r>
        <w:rPr>
          <w:b/>
          <w:sz w:val="22"/>
        </w:rPr>
        <w:t xml:space="preserve">Effective Ratio: </w:t>
      </w:r>
      <w:r>
        <w:rPr>
          <w:rFonts w:ascii="Cambria Math" w:hAnsi="Cambria Math"/>
          <w:i/>
          <w:color w:val="8B0000"/>
          <w:sz w:val="24"/>
        </w:rPr>
        <w:t>r_eff = √(Investment_Ratio) × 0.7</w:t>
      </w:r>
    </w:p>
    <w:p>
      <w:r>
        <w:rPr>
          <w:b/>
          <w:sz w:val="22"/>
        </w:rPr>
        <w:t xml:space="preserve">New OPEX: </w:t>
      </w:r>
      <w:r>
        <w:rPr>
          <w:rFonts w:ascii="Cambria Math" w:hAnsi="Cambria Math"/>
          <w:i/>
          <w:color w:val="8B0000"/>
          <w:sz w:val="24"/>
        </w:rPr>
        <w:t>OPEX_new = OPEX_old × (1 − r_eff × Synergy_Multiplier)</w:t>
      </w:r>
    </w:p>
    <w:p>
      <w:pPr>
        <w:ind w:left="432"/>
      </w:pPr>
      <w:r>
        <w:t>Investment_Ratio clamped to [0.0, 1.0] (VULN-002).</w:t>
      </w:r>
    </w:p>
    <w:p>
      <w:pPr>
        <w:ind w:left="432"/>
      </w:pPr>
      <w:r>
        <w:t>OPEX floored at 0 to prevent negative values.</w:t>
      </w:r>
    </w:p>
    <w:p>
      <w:pPr>
        <w:pStyle w:val="Heading1"/>
      </w:pPr>
      <w:r>
        <w:rPr>
          <w:color w:val="1A3C6E"/>
        </w:rPr>
        <w:t>4. Natural Capital Cost of Debt</w:t>
      </w:r>
    </w:p>
    <w:p>
      <w:r>
        <w:t>Environmental debt compounds each round, increasing the cost of capital.</w:t>
      </w:r>
    </w:p>
    <w:p>
      <w:r>
        <w:rPr>
          <w:b/>
          <w:sz w:val="22"/>
        </w:rPr>
        <w:t xml:space="preserve">Interest Rate: </w:t>
      </w:r>
      <w:r>
        <w:rPr>
          <w:rFonts w:ascii="Cambria Math" w:hAnsi="Cambria Math"/>
          <w:i/>
          <w:color w:val="8B0000"/>
          <w:sz w:val="24"/>
        </w:rPr>
        <w:t>r = Base_Rate + (NCD × 0.0001)</w:t>
      </w:r>
    </w:p>
    <w:p>
      <w:r>
        <w:rPr>
          <w:b/>
          <w:sz w:val="22"/>
        </w:rPr>
        <w:t xml:space="preserve">Debt Compounding: </w:t>
      </w:r>
      <w:r>
        <w:rPr>
          <w:rFonts w:ascii="Cambria Math" w:hAnsi="Cambria Math"/>
          <w:i/>
          <w:color w:val="8B0000"/>
          <w:sz w:val="24"/>
        </w:rPr>
        <w:t>NCD_{t+1} = NCD_t + (NCD_t × r)</w:t>
      </w:r>
    </w:p>
    <w:p>
      <w:pPr>
        <w:ind w:left="432"/>
      </w:pPr>
      <w:r>
        <w:t>At NCD=100: rate ≈ 6.0%. At NCD=500: rate ≈ 10.0%. At NCD=1000: rate ≈ 15.0%.</w:t>
      </w:r>
    </w:p>
    <w:p>
      <w:pPr>
        <w:ind w:left="432"/>
      </w:pPr>
      <w:r>
        <w:t>NCD floored at 0 (VULN-004), capped at 1,000,000 (VULN-007).</w:t>
      </w:r>
    </w:p>
    <w:p>
      <w:pPr>
        <w:pStyle w:val="Heading1"/>
      </w:pPr>
      <w:r>
        <w:rPr>
          <w:color w:val="1A3C6E"/>
        </w:rPr>
        <w:t>5. VRIO Decay Function</w:t>
      </w:r>
    </w:p>
    <w:p>
      <w:r>
        <w:t>Competitive advantage erodes over time through imitation.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Advantage_{t+1} = Advantage_t × (1 − Imitation_Decay_Rate)</w:t>
      </w:r>
    </w:p>
    <w:p>
      <w:pPr>
        <w:ind w:left="432"/>
      </w:pPr>
      <w:r>
        <w:t>Default decay rate: 5% per round.</w:t>
      </w:r>
    </w:p>
    <w:p>
      <w:pPr>
        <w:pStyle w:val="Heading1"/>
      </w:pPr>
      <w:r>
        <w:rPr>
          <w:color w:val="1A3C6E"/>
        </w:rPr>
        <w:t>6. Burnout Accumulation Engine</w:t>
      </w:r>
    </w:p>
    <w:p>
      <w:r>
        <w:t>Tracks staff burnout per BU with quadratic OPEX penalty curve.</w:t>
      </w:r>
    </w:p>
    <w:p>
      <w:r>
        <w:rPr>
          <w:b/>
          <w:sz w:val="22"/>
        </w:rPr>
        <w:t xml:space="preserve">Burnout Update: </w:t>
      </w:r>
      <w:r>
        <w:rPr>
          <w:rFonts w:ascii="Cambria Math" w:hAnsi="Cambria Math"/>
          <w:i/>
          <w:color w:val="8B0000"/>
          <w:sz w:val="24"/>
        </w:rPr>
        <w:t>B_{t+1} = B_t + Δ_HR + Natural_Drift</w:t>
      </w:r>
    </w:p>
    <w:p>
      <w:r>
        <w:rPr>
          <w:b/>
          <w:sz w:val="22"/>
        </w:rPr>
        <w:t xml:space="preserve">OPEX Penalty Rate: </w:t>
      </w:r>
      <w:r>
        <w:rPr>
          <w:rFonts w:ascii="Cambria Math" w:hAnsi="Cambria Math"/>
          <w:i/>
          <w:color w:val="8B0000"/>
          <w:sz w:val="24"/>
        </w:rPr>
        <w:t>Penalty = ((B − 20)²) × 0.000028125    [when B &gt; 20]</w:t>
      </w:r>
    </w:p>
    <w:p>
      <w:pPr>
        <w:ind w:left="432"/>
      </w:pPr>
      <w:r>
        <w:t>Natural drift: +3.0/round when no HR investment. Clamped to [0, 100].</w:t>
      </w:r>
    </w:p>
    <w:p>
      <w:pPr>
        <w:ind w:left="432"/>
      </w:pPr>
      <w:r>
        <w:t>Critical threshold: B &gt; 70 triggers additional governance risk.</w:t>
      </w:r>
    </w:p>
    <w:p>
      <w:pPr>
        <w:ind w:left="432"/>
      </w:pPr>
      <w:r>
        <w:t>HR deltas: positive actions −(8 to 15), overtime push +(12 to 15).</w:t>
      </w:r>
    </w:p>
    <w:p>
      <w:pPr>
        <w:pStyle w:val="Heading1"/>
      </w:pPr>
      <w:r>
        <w:rPr>
          <w:color w:val="1A3C6E"/>
        </w:rPr>
        <w:t>7. Workforce Readiness Engine</w:t>
      </w:r>
    </w:p>
    <w:p>
      <w:r>
        <w:t>Global workforce competence level affecting strategic effectiveness.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WR_{t+1} = WR_t + Δ_{HR}</w:t>
      </w:r>
    </w:p>
    <w:p>
      <w:pPr>
        <w:ind w:left="432"/>
      </w:pPr>
      <w:r>
        <w:t>High HR investment: +8. Medium: +4. No investment: −5 (skills atrophy).</w:t>
      </w:r>
    </w:p>
    <w:p>
      <w:pPr>
        <w:ind w:left="432"/>
      </w:pPr>
      <w:r>
        <w:t>WR &lt; 40: Strategic pillar effectiveness reduced by 20%.</w:t>
      </w:r>
    </w:p>
    <w:p>
      <w:pPr>
        <w:ind w:left="432"/>
      </w:pPr>
      <w:r>
        <w:t>WR &gt; 75: Synergy multiplier +0.05 bonus at terminal valuation.</w:t>
      </w:r>
    </w:p>
    <w:p>
      <w:pPr>
        <w:pStyle w:val="Heading1"/>
      </w:pPr>
      <w:r>
        <w:rPr>
          <w:color w:val="1A3C6E"/>
        </w:rPr>
        <w:t>8. Talent Brain-Drain Engine</w:t>
      </w:r>
    </w:p>
    <w:p>
      <w:r>
        <w:t>Applies to Software &amp; Healthcare BUs when group reputation falls below 65.</w:t>
      </w:r>
    </w:p>
    <w:p>
      <w:r>
        <w:rPr>
          <w:b/>
          <w:sz w:val="22"/>
        </w:rPr>
        <w:t xml:space="preserve">Base Penalty: </w:t>
      </w:r>
      <w:r>
        <w:rPr>
          <w:rFonts w:ascii="Cambria Math" w:hAnsi="Cambria Math"/>
          <w:i/>
          <w:color w:val="8B0000"/>
          <w:sz w:val="24"/>
        </w:rPr>
        <w:t>P = 1 + max(0, (65 − Group_Rep) / 100) × 1.5</w:t>
      </w:r>
    </w:p>
    <w:p>
      <w:r>
        <w:rPr>
          <w:b/>
          <w:sz w:val="22"/>
        </w:rPr>
        <w:t xml:space="preserve">Burnout Addon: </w:t>
      </w:r>
      <w:r>
        <w:rPr>
          <w:rFonts w:ascii="Cambria Math" w:hAnsi="Cambria Math"/>
          <w:i/>
          <w:color w:val="8B0000"/>
          <w:sz w:val="24"/>
        </w:rPr>
        <w:t>P += ((Burnout − 50) / 100) × 2.0    [when Burnout &gt; 50]</w:t>
      </w:r>
    </w:p>
    <w:p>
      <w:r>
        <w:rPr>
          <w:b/>
          <w:sz w:val="22"/>
        </w:rPr>
        <w:t xml:space="preserve">New OPEX: </w:t>
      </w:r>
      <w:r>
        <w:rPr>
          <w:rFonts w:ascii="Cambria Math" w:hAnsi="Cambria Math"/>
          <w:i/>
          <w:color w:val="8B0000"/>
          <w:sz w:val="24"/>
        </w:rPr>
        <w:t>OPEX_new = OPEX_current × P</w:t>
      </w:r>
    </w:p>
    <w:p>
      <w:pPr>
        <w:pStyle w:val="Heading1"/>
      </w:pPr>
      <w:r>
        <w:rPr>
          <w:color w:val="1A3C6E"/>
        </w:rPr>
        <w:t>9. Strike Probability Engine</w:t>
      </w:r>
    </w:p>
    <w:p>
      <w:r>
        <w:t>Calculates probability of workforce strike based on governance risk and social license.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P_Strike = Base_Risk + ((1 − SLO/100) × 0.4)</w:t>
      </w:r>
    </w:p>
    <w:p>
      <w:pPr>
        <w:ind w:left="432"/>
      </w:pPr>
      <w:r>
        <w:t>Result clamped to [0.0, 1.0].</w:t>
      </w:r>
    </w:p>
    <w:p>
      <w:pPr>
        <w:pStyle w:val="Heading1"/>
      </w:pPr>
      <w:r>
        <w:rPr>
          <w:color w:val="1A3C6E"/>
        </w:rPr>
        <w:t>10. Natural Decay (Entropy)</w:t>
      </w:r>
    </w:p>
    <w:p>
      <w:r>
        <w:t>BUs receiving zero investment decay 2% per round.</w:t>
      </w:r>
    </w:p>
    <w:p>
      <w:r>
        <w:rPr>
          <w:b/>
          <w:sz w:val="22"/>
        </w:rPr>
        <w:t xml:space="preserve">Reputation: </w:t>
      </w:r>
      <w:r>
        <w:rPr>
          <w:rFonts w:ascii="Cambria Math" w:hAnsi="Cambria Math"/>
          <w:i/>
          <w:color w:val="8B0000"/>
          <w:sz w:val="24"/>
        </w:rPr>
        <w:t>Rep_{t+1} = Rep_t × 0.98    [if CAPEX = 0]</w:t>
      </w:r>
    </w:p>
    <w:p>
      <w:r>
        <w:rPr>
          <w:b/>
          <w:sz w:val="22"/>
        </w:rPr>
        <w:t xml:space="preserve">Social License: </w:t>
      </w:r>
      <w:r>
        <w:rPr>
          <w:rFonts w:ascii="Cambria Math" w:hAnsi="Cambria Math"/>
          <w:i/>
          <w:color w:val="8B0000"/>
          <w:sz w:val="24"/>
        </w:rPr>
        <w:t>SLO_{t+1} = SLO_t × 0.98    [if CAPEX = 0]</w:t>
      </w:r>
    </w:p>
    <w:p>
      <w:pPr>
        <w:pStyle w:val="Heading1"/>
      </w:pPr>
      <w:r>
        <w:rPr>
          <w:color w:val="1A3C6E"/>
        </w:rPr>
        <w:t>11. Macroeconomic Inflation Engine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OPEX_new = OPEX × (1 + Inflation_Index)</w:t>
      </w:r>
    </w:p>
    <w:p>
      <w:pPr>
        <w:ind w:left="432"/>
      </w:pPr>
      <w:r>
        <w:t>Default inflation_index = 0.025 (2.5% per round).</w:t>
      </w:r>
    </w:p>
    <w:p>
      <w:pPr>
        <w:pStyle w:val="Heading1"/>
      </w:pPr>
      <w:r>
        <w:rPr>
          <w:color w:val="1A3C6E"/>
        </w:rPr>
        <w:t>12. Execution Overrun Risk</w:t>
      </w:r>
    </w:p>
    <w:p>
      <w:r>
        <w:t>Stochastic cost overrun when CAPEX exceeds threshold.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CAPEX &gt; Threshold: P(overrun) = 0.25</w:t>
      </w:r>
    </w:p>
    <w:p>
      <w:r>
        <w:rPr>
          <w:b/>
          <w:sz w:val="22"/>
        </w:rPr>
        <w:t xml:space="preserve">Overrun Amount: </w:t>
      </w:r>
      <w:r>
        <w:rPr>
          <w:rFonts w:ascii="Cambria Math" w:hAnsi="Cambria Math"/>
          <w:i/>
          <w:color w:val="8B0000"/>
          <w:sz w:val="24"/>
        </w:rPr>
        <w:t>Overrun = CAPEX × 0.15</w:t>
      </w:r>
    </w:p>
    <w:p>
      <w:pPr>
        <w:ind w:left="432"/>
      </w:pPr>
      <w:r>
        <w:t>Default threshold: $3,000,000.</w:t>
      </w:r>
    </w:p>
    <w:p>
      <w:pPr>
        <w:pStyle w:val="Heading1"/>
      </w:pPr>
      <w:r>
        <w:rPr>
          <w:color w:val="1A3C6E"/>
        </w:rPr>
        <w:t>13. Technical Debt Engine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OPEX_new = OPEX × (1 + 0.04)    [if zero_rounds ≥ 2]</w:t>
      </w:r>
    </w:p>
    <w:p>
      <w:pPr>
        <w:ind w:left="432"/>
      </w:pPr>
      <w:r>
        <w:t>BUs with no investment for 2+ consecutive rounds incur 4% OPEX penalty.</w:t>
      </w:r>
    </w:p>
    <w:p>
      <w:pPr>
        <w:pStyle w:val="Heading1"/>
      </w:pPr>
      <w:r>
        <w:rPr>
          <w:color w:val="1A3C6E"/>
        </w:rPr>
        <w:t>14. Revenue Cannibalization</w:t>
      </w:r>
    </w:p>
    <w:p>
      <w:r>
        <w:t>Dynamic market overlap model for intra-group competition.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Triggers when BU revenue &gt; 115% of group average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Penalty = Victim_Rev × Rate × Overlap_Score</w:t>
      </w:r>
    </w:p>
    <w:p>
      <w:pPr>
        <w:ind w:left="432"/>
      </w:pPr>
      <w:r>
        <w:t>Rate = 3%. Overlap scores range 0.15–0.70 based on market similarity.</w:t>
      </w:r>
    </w:p>
    <w:p>
      <w:pPr>
        <w:pStyle w:val="Heading1"/>
      </w:pPr>
      <w:r>
        <w:rPr>
          <w:color w:val="1A3C6E"/>
        </w:rPr>
        <w:t>15. Stakeholder Fatigue Engine</w:t>
      </w:r>
    </w:p>
    <w:p>
      <w:r>
        <w:rPr>
          <w:b/>
          <w:sz w:val="22"/>
        </w:rPr>
        <w:t xml:space="preserve">Recovery Efficiency: </w:t>
      </w:r>
      <w:r>
        <w:rPr>
          <w:rFonts w:ascii="Cambria Math" w:hAnsi="Cambria Math"/>
          <w:i/>
          <w:color w:val="8B0000"/>
          <w:sz w:val="24"/>
        </w:rPr>
        <w:t>η = 1 / (1 + Fatigue_Factor × Crisis_Count)</w:t>
      </w:r>
    </w:p>
    <w:p>
      <w:r>
        <w:rPr>
          <w:b/>
          <w:sz w:val="22"/>
        </w:rPr>
        <w:t xml:space="preserve">Effective Recovery: </w:t>
      </w:r>
      <w:r>
        <w:rPr>
          <w:rFonts w:ascii="Cambria Math" w:hAnsi="Cambria Math"/>
          <w:i/>
          <w:color w:val="8B0000"/>
          <w:sz w:val="24"/>
        </w:rPr>
        <w:t>Recovery_eff = Recovery_amount × η</w:t>
      </w:r>
    </w:p>
    <w:p>
      <w:pPr>
        <w:ind w:left="432"/>
      </w:pPr>
      <w:r>
        <w:t>Default fatigue_factor = 0.3. Trust recovery diminishes after each crisis.</w:t>
      </w:r>
    </w:p>
    <w:p>
      <w:pPr>
        <w:pStyle w:val="Heading1"/>
      </w:pPr>
      <w:r>
        <w:rPr>
          <w:color w:val="1A3C6E"/>
        </w:rPr>
        <w:t>16. Supply Chain Contagion</w:t>
      </w:r>
    </w:p>
    <w:p>
      <w:r>
        <w:rPr>
          <w:b/>
          <w:sz w:val="22"/>
        </w:rPr>
        <w:t xml:space="preserve">Shared Exposure: </w:t>
      </w:r>
      <w:r>
        <w:rPr>
          <w:rFonts w:ascii="Cambria Math" w:hAnsi="Cambria Math"/>
          <w:i/>
          <w:color w:val="8B0000"/>
          <w:sz w:val="24"/>
        </w:rPr>
        <w:t>Exposure = Σ(Other_BU_GovRisk × 0.002)</w:t>
      </w:r>
    </w:p>
    <w:p>
      <w:r>
        <w:rPr>
          <w:b/>
          <w:sz w:val="22"/>
        </w:rPr>
        <w:t xml:space="preserve">OPEX Surcharge: </w:t>
      </w:r>
      <w:r>
        <w:rPr>
          <w:rFonts w:ascii="Cambria Math" w:hAnsi="Cambria Math"/>
          <w:i/>
          <w:color w:val="8B0000"/>
          <w:sz w:val="24"/>
        </w:rPr>
        <w:t>Surcharge = OPEX_base × Exposure</w:t>
      </w:r>
    </w:p>
    <w:p>
      <w:pPr>
        <w:pStyle w:val="Heading1"/>
      </w:pPr>
      <w:r>
        <w:rPr>
          <w:color w:val="1A3C6E"/>
        </w:rPr>
        <w:t>17. Competitive NPC Index</w:t>
      </w:r>
    </w:p>
    <w:p>
      <w:r>
        <w:rPr>
          <w:b/>
          <w:sz w:val="22"/>
        </w:rPr>
        <w:t xml:space="preserve">NPC Growth: </w:t>
      </w:r>
      <w:r>
        <w:rPr>
          <w:rFonts w:ascii="Cambria Math" w:hAnsi="Cambria Math"/>
          <w:i/>
          <w:color w:val="8B0000"/>
          <w:sz w:val="24"/>
        </w:rPr>
        <w:t>Competitor_EBITDA_{t+1} = Competitor_EBITDA_t × (1 + 0.03)</w:t>
      </w:r>
    </w:p>
    <w:p>
      <w:r>
        <w:rPr>
          <w:b/>
          <w:sz w:val="22"/>
        </w:rPr>
        <w:t xml:space="preserve">Relative Advantage: </w:t>
      </w:r>
      <w:r>
        <w:rPr>
          <w:rFonts w:ascii="Cambria Math" w:hAnsi="Cambria Math"/>
          <w:i/>
          <w:color w:val="8B0000"/>
          <w:sz w:val="24"/>
        </w:rPr>
        <w:t>Advantage = Player_EBITDA / Competitor_EBITDA</w:t>
      </w:r>
    </w:p>
    <w:p>
      <w:pPr>
        <w:pStyle w:val="Heading1"/>
      </w:pPr>
      <w:r>
        <w:rPr>
          <w:color w:val="1A3C6E"/>
        </w:rPr>
        <w:t>18. Cash Conversion / Working Capital</w:t>
      </w:r>
    </w:p>
    <w:p>
      <w:r>
        <w:rPr>
          <w:b/>
          <w:sz w:val="22"/>
        </w:rPr>
        <w:t xml:space="preserve">Efficiency: </w:t>
      </w:r>
      <w:r>
        <w:rPr>
          <w:rFonts w:ascii="Cambria Math" w:hAnsi="Cambria Math"/>
          <w:i/>
          <w:color w:val="8B0000"/>
          <w:sz w:val="24"/>
        </w:rPr>
        <w:t>η = Base_Efficiency − (Gov_Risk / 500)</w:t>
      </w:r>
    </w:p>
    <w:p>
      <w:r>
        <w:rPr>
          <w:b/>
          <w:sz w:val="22"/>
        </w:rPr>
        <w:t xml:space="preserve">Realized Revenue: </w:t>
      </w:r>
      <w:r>
        <w:rPr>
          <w:rFonts w:ascii="Cambria Math" w:hAnsi="Cambria Math"/>
          <w:i/>
          <w:color w:val="8B0000"/>
          <w:sz w:val="24"/>
        </w:rPr>
        <w:t>Rev_realized = Revenue × η</w:t>
      </w:r>
    </w:p>
    <w:p>
      <w:pPr>
        <w:ind w:left="432"/>
      </w:pPr>
      <w:r>
        <w:t>Efficiency clamped to [0.5, 1.0].</w:t>
      </w:r>
    </w:p>
    <w:p>
      <w:pPr>
        <w:pStyle w:val="Heading1"/>
      </w:pPr>
      <w:r>
        <w:rPr>
          <w:color w:val="1A3C6E"/>
        </w:rPr>
        <w:t>19. Dividend Ratchet Engine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Div_t &lt; Div_{t−1} × 0.8 → Rep penalty = −5</w:t>
      </w:r>
    </w:p>
    <w:p>
      <w:pPr>
        <w:ind w:left="432"/>
      </w:pPr>
      <w:r>
        <w:t>Cutting dividends by &gt;20% triggers reputation penalty.</w:t>
      </w:r>
    </w:p>
    <w:p>
      <w:pPr>
        <w:pStyle w:val="Heading1"/>
      </w:pPr>
      <w:r>
        <w:rPr>
          <w:color w:val="1A3C6E"/>
        </w:rPr>
        <w:t>20. Talent Allocation Pressure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If BU_CAPEX_Share &lt; 15% of Total_CAPEX</w:t>
      </w:r>
    </w:p>
    <w:p>
      <w:r>
        <w:rPr>
          <w:b/>
          <w:sz w:val="22"/>
        </w:rPr>
        <w:t xml:space="preserve">Surcharge: </w:t>
      </w:r>
      <w:r>
        <w:rPr>
          <w:rFonts w:ascii="Cambria Math" w:hAnsi="Cambria Math"/>
          <w:i/>
          <w:color w:val="8B0000"/>
          <w:sz w:val="24"/>
        </w:rPr>
        <w:t>Surcharge = OPEX_base × 0.02</w:t>
      </w:r>
    </w:p>
    <w:p>
      <w:pPr>
        <w:pStyle w:val="Heading1"/>
      </w:pPr>
      <w:r>
        <w:rPr>
          <w:color w:val="1A3C6E"/>
        </w:rPr>
        <w:t>21. Technology Lock-In Engine</w:t>
      </w:r>
    </w:p>
    <w:p>
      <w:r>
        <w:rPr>
          <w:b/>
          <w:sz w:val="22"/>
        </w:rPr>
        <w:t xml:space="preserve">Condition: </w:t>
      </w:r>
      <w:r>
        <w:rPr>
          <w:rFonts w:ascii="Cambria Math" w:hAnsi="Cambria Math"/>
          <w:i/>
          <w:color w:val="8B0000"/>
          <w:sz w:val="24"/>
        </w:rPr>
        <w:t>Same BU receives highest CAPEX for ≥ 3 consecutive rounds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Other BU synergy efficiency × 0.85 (15% reduction)</w:t>
      </w:r>
    </w:p>
    <w:p>
      <w:pPr>
        <w:pStyle w:val="Heading1"/>
      </w:pPr>
      <w:r>
        <w:rPr>
          <w:color w:val="1A3C6E"/>
        </w:rPr>
        <w:t>22. ESG Greenwashing Risk</w:t>
      </w:r>
    </w:p>
    <w:p>
      <w:r>
        <w:t>Detects misalignment between stated ESG commitments and actual investment.</w:t>
      </w:r>
    </w:p>
    <w:p>
      <w:r>
        <w:rPr>
          <w:b/>
          <w:sz w:val="22"/>
        </w:rPr>
        <w:t xml:space="preserve">Trigger: </w:t>
      </w:r>
      <w:r>
        <w:rPr>
          <w:rFonts w:ascii="Cambria Math" w:hAnsi="Cambria Math"/>
          <w:i/>
          <w:color w:val="8B0000"/>
          <w:sz w:val="24"/>
        </w:rPr>
        <w:t>Green choice (A/C) AND Avg_Inv_Ratio &lt; 15%</w:t>
      </w:r>
    </w:p>
    <w:p>
      <w:r>
        <w:rPr>
          <w:b/>
          <w:sz w:val="22"/>
        </w:rPr>
        <w:t xml:space="preserve">Penalty: </w:t>
      </w:r>
      <w:r>
        <w:rPr>
          <w:rFonts w:ascii="Cambria Math" w:hAnsi="Cambria Math"/>
          <w:i/>
          <w:color w:val="8B0000"/>
          <w:sz w:val="24"/>
        </w:rPr>
        <w:t>Social License − 8 points</w:t>
      </w:r>
    </w:p>
    <w:p>
      <w:pPr>
        <w:ind w:left="432"/>
      </w:pPr>
      <w:r>
        <w:t>Moderate choices (B): threshold = 10%, penalty halved to −4.</w:t>
      </w:r>
    </w:p>
    <w:p>
      <w:pPr>
        <w:pStyle w:val="Heading1"/>
      </w:pPr>
      <w:r>
        <w:rPr>
          <w:color w:val="1A3C6E"/>
        </w:rPr>
        <w:t>23. Macro Interest Rate Environment</w:t>
      </w:r>
    </w:p>
    <w:p>
      <w:r>
        <w:t>Models central bank policy cycles across 10 rounds.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Rounds</w:t>
            </w:r>
          </w:p>
        </w:tc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CoC Modifier</w:t>
            </w:r>
          </w:p>
        </w:tc>
      </w:tr>
      <w:tr>
        <w:tc>
          <w:tcPr>
            <w:tcW w:type="dxa" w:w="2880"/>
          </w:tcPr>
          <w:p>
            <w:r>
              <w:t>R1–R3</w:t>
            </w:r>
          </w:p>
        </w:tc>
        <w:tc>
          <w:tcPr>
            <w:tcW w:type="dxa" w:w="2880"/>
          </w:tcPr>
          <w:p>
            <w:r>
              <w:t>Easing</w:t>
            </w:r>
          </w:p>
        </w:tc>
        <w:tc>
          <w:tcPr>
            <w:tcW w:type="dxa" w:w="2880"/>
          </w:tcPr>
          <w:p>
            <w:r>
              <w:t>−0.5%</w:t>
            </w:r>
          </w:p>
        </w:tc>
      </w:tr>
      <w:tr>
        <w:tc>
          <w:tcPr>
            <w:tcW w:type="dxa" w:w="2880"/>
          </w:tcPr>
          <w:p>
            <w:r>
              <w:t>R4–R6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R7–R9</w:t>
            </w:r>
          </w:p>
        </w:tc>
        <w:tc>
          <w:tcPr>
            <w:tcW w:type="dxa" w:w="2880"/>
          </w:tcPr>
          <w:p>
            <w:r>
              <w:t>Tightening</w:t>
            </w:r>
          </w:p>
        </w:tc>
        <w:tc>
          <w:tcPr>
            <w:tcW w:type="dxa" w:w="2880"/>
          </w:tcPr>
          <w:p>
            <w:r>
              <w:t>+0.5%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Crisis Premium</w:t>
            </w:r>
          </w:p>
        </w:tc>
        <w:tc>
          <w:tcPr>
            <w:tcW w:type="dxa" w:w="2880"/>
          </w:tcPr>
          <w:p>
            <w:r>
              <w:t>+1.0%</w:t>
            </w:r>
          </w:p>
        </w:tc>
      </w:tr>
    </w:tbl>
    <w:p>
      <w:pPr>
        <w:pStyle w:val="Heading1"/>
      </w:pPr>
      <w:r>
        <w:rPr>
          <w:color w:val="1A3C6E"/>
        </w:rPr>
        <w:t>24. FX Risk Engine</w:t>
      </w:r>
    </w:p>
    <w:p>
      <w:r>
        <w:rPr>
          <w:b/>
          <w:sz w:val="22"/>
        </w:rPr>
        <w:t xml:space="preserve">FX Movement: </w:t>
      </w:r>
      <w:r>
        <w:rPr>
          <w:rFonts w:ascii="Cambria Math" w:hAnsi="Cambria Math"/>
          <w:i/>
          <w:color w:val="8B0000"/>
          <w:sz w:val="24"/>
        </w:rPr>
        <w:t>FX ∼ Uniform(−5%, +5%) per round</w:t>
      </w:r>
    </w:p>
    <w:p>
      <w:r>
        <w:rPr>
          <w:b/>
          <w:sz w:val="22"/>
        </w:rPr>
        <w:t xml:space="preserve">Revenue Impact: </w:t>
      </w:r>
      <w:r>
        <w:rPr>
          <w:rFonts w:ascii="Cambria Math" w:hAnsi="Cambria Math"/>
          <w:i/>
          <w:color w:val="8B0000"/>
          <w:sz w:val="24"/>
        </w:rPr>
        <w:t>ΔRev = Revenue × FX_movement × Exposure_%</w:t>
      </w:r>
    </w:p>
    <w:p>
      <w:pPr>
        <w:ind w:left="432"/>
      </w:pPr>
      <w:r>
        <w:t>Exposure: Software 80%, Electronics 75%, Pharma 60%, Consumer Goods 40%.</w:t>
      </w:r>
    </w:p>
    <w:p>
      <w:pPr>
        <w:pStyle w:val="Heading1"/>
      </w:pPr>
      <w:r>
        <w:rPr>
          <w:color w:val="1A3C6E"/>
        </w:rPr>
        <w:t>25. DSO / Working Capital Timing</w:t>
      </w:r>
    </w:p>
    <w:p>
      <w:r>
        <w:rPr>
          <w:b/>
          <w:sz w:val="22"/>
        </w:rPr>
        <w:t xml:space="preserve">DSO Factor: </w:t>
      </w:r>
      <w:r>
        <w:rPr>
          <w:rFonts w:ascii="Cambria Math" w:hAnsi="Cambria Math"/>
          <w:i/>
          <w:color w:val="8B0000"/>
          <w:sz w:val="24"/>
        </w:rPr>
        <w:t>DSO = 0.02 + 0.001 × Gov_Risk</w:t>
      </w:r>
    </w:p>
    <w:p>
      <w:r>
        <w:rPr>
          <w:b/>
          <w:sz w:val="22"/>
        </w:rPr>
        <w:t xml:space="preserve">Deferred Revenue: </w:t>
      </w:r>
      <w:r>
        <w:rPr>
          <w:rFonts w:ascii="Cambria Math" w:hAnsi="Cambria Math"/>
          <w:i/>
          <w:color w:val="8B0000"/>
          <w:sz w:val="24"/>
        </w:rPr>
        <w:t>Deferred = Revenue × DSO_factor</w:t>
      </w:r>
    </w:p>
    <w:p>
      <w:pPr>
        <w:ind w:left="432"/>
      </w:pPr>
      <w:r>
        <w:t>At gov_risk=0: 2% deferred. At 50: 7%. At 100: 12%. Capped at 15%.</w:t>
      </w:r>
    </w:p>
    <w:p>
      <w:pPr>
        <w:pStyle w:val="Heading1"/>
      </w:pPr>
      <w:r>
        <w:rPr>
          <w:color w:val="1A3C6E"/>
        </w:rPr>
        <w:t>26. Macro-Economic Noise</w:t>
      </w:r>
    </w:p>
    <w:p>
      <w:r>
        <w:t>Stochastic volatility preventing reverse-engineering of deterministic formulas.</w:t>
      </w:r>
    </w:p>
    <w:p>
      <w:pPr>
        <w:ind w:left="432"/>
      </w:pPr>
      <w:r>
        <w:t>Inflation noise: ±0.2%. Carbon price noise: ±5%. Micro-strike: 3% per round.</w:t>
      </w:r>
    </w:p>
    <w:p>
      <w:pPr>
        <w:pStyle w:val="Heading1"/>
      </w:pPr>
      <w:r>
        <w:rPr>
          <w:color w:val="1A3C6E"/>
        </w:rPr>
        <w:t>27. Turnaround Pathway (3-Act Distress Arc)</w:t>
      </w:r>
    </w:p>
    <w:p>
      <w:r>
        <w:t>Replaces binary survival mode with progressive recovery phases.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Entry Conditions</w:t>
            </w:r>
          </w:p>
        </w:tc>
        <w:tc>
          <w:tcPr>
            <w:tcW w:type="dxa" w:w="2160"/>
          </w:tcPr>
          <w:p>
            <w:r>
              <w:t>CapEx Cap</w:t>
            </w:r>
          </w:p>
        </w:tc>
        <w:tc>
          <w:tcPr>
            <w:tcW w:type="dxa" w:w="2160"/>
          </w:tcPr>
          <w:p>
            <w:r>
              <w:t>Mᵣ Cap</w:t>
            </w:r>
          </w:p>
        </w:tc>
      </w:tr>
      <w:tr>
        <w:tc>
          <w:tcPr>
            <w:tcW w:type="dxa" w:w="2160"/>
          </w:tcPr>
          <w:p>
            <w:r>
              <w:t>Crisis</w:t>
            </w:r>
          </w:p>
        </w:tc>
        <w:tc>
          <w:tcPr>
            <w:tcW w:type="dxa" w:w="2160"/>
          </w:tcPr>
          <w:p>
            <w:r>
              <w:t>Treasury ≤ $0 AND Rep &lt; 30</w:t>
            </w:r>
          </w:p>
        </w:tc>
        <w:tc>
          <w:tcPr>
            <w:tcW w:type="dxa" w:w="2160"/>
          </w:tcPr>
          <w:p>
            <w:r>
              <w:t>0% (frozen)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Stabilisation</w:t>
            </w:r>
          </w:p>
        </w:tc>
        <w:tc>
          <w:tcPr>
            <w:tcW w:type="dxa" w:w="2160"/>
          </w:tcPr>
          <w:p>
            <w:r>
              <w:t>Treasury &gt; $0 AND Rep &gt; 20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Recovery</w:t>
            </w:r>
          </w:p>
        </w:tc>
        <w:tc>
          <w:tcPr>
            <w:tcW w:type="dxa" w:w="2160"/>
          </w:tcPr>
          <w:p>
            <w:r>
              <w:t>Treasury &gt; $10M AND Rep &gt; 45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Treasury &gt; $20M AND Rep &gt; 55</w:t>
            </w:r>
          </w:p>
        </w:tc>
        <w:tc>
          <w:tcPr>
            <w:tcW w:type="dxa" w:w="2160"/>
          </w:tcPr>
          <w:p>
            <w:r>
              <w:t>Lifted</w:t>
            </w:r>
          </w:p>
        </w:tc>
        <w:tc>
          <w:tcPr>
            <w:tcW w:type="dxa" w:w="2160"/>
          </w:tcPr>
          <w:p>
            <w:r>
              <w:t>+0.10 bonus</w:t>
            </w:r>
          </w:p>
        </w:tc>
      </w:tr>
    </w:tbl>
    <w:p>
      <w:pPr>
        <w:pStyle w:val="Heading1"/>
      </w:pPr>
      <w:r>
        <w:rPr>
          <w:color w:val="1A3C6E"/>
        </w:rPr>
        <w:t>28. Severity Classification</w:t>
      </w:r>
    </w:p>
    <w:p>
      <w:r>
        <w:rPr>
          <w:b/>
          <w:sz w:val="22"/>
        </w:rPr>
        <w:t xml:space="preserve">Impact %: </w:t>
      </w:r>
      <w:r>
        <w:rPr>
          <w:rFonts w:ascii="Cambria Math" w:hAnsi="Cambria Math"/>
          <w:i/>
          <w:color w:val="8B0000"/>
          <w:sz w:val="24"/>
        </w:rPr>
        <w:t>Impact = |Amount| / Treasury × 100</w:t>
      </w:r>
    </w:p>
    <w:p>
      <w:pPr>
        <w:ind w:left="432"/>
      </w:pPr>
      <w:r>
        <w:t>Tiers: Routine (&lt;1%), Noteworthy (1–5%), Material (5–15%), Critical (&gt;15%).</w:t>
      </w:r>
    </w:p>
    <w:p>
      <w:pPr>
        <w:pStyle w:val="Heading1"/>
      </w:pPr>
      <w:r>
        <w:rPr>
          <w:color w:val="1A3C6E"/>
        </w:rPr>
        <w:t>29. Momentum Score</w:t>
      </w:r>
    </w:p>
    <w:p>
      <w:r>
        <w:rPr>
          <w:b/>
          <w:sz w:val="22"/>
        </w:rPr>
        <w:t xml:space="preserve">Formula: </w:t>
      </w:r>
      <w:r>
        <w:rPr>
          <w:rFonts w:ascii="Cambria Math" w:hAnsi="Cambria Math"/>
          <w:i/>
          <w:color w:val="8B0000"/>
          <w:sz w:val="24"/>
        </w:rPr>
        <w:t>M = 50 + 0.4×Δ(Treasury_Velocity) + 0.3×Δ(Reputation) + 0.3×Δ(NCD_Reduction)</w:t>
      </w:r>
    </w:p>
    <w:p>
      <w:pPr>
        <w:ind w:left="432"/>
      </w:pPr>
      <w:r>
        <w:t>Scaled to [0, 100]. Two consecutive rounds at &gt;70 earns 'Comeback Kid' bonus (+0.05 Mᵣ).</w:t>
      </w:r>
    </w:p>
    <w:p>
      <w:pPr>
        <w:pStyle w:val="Heading1"/>
      </w:pPr>
      <w:r>
        <w:rPr>
          <w:color w:val="1A3C6E"/>
        </w:rPr>
        <w:t>30. Terminal Valuation &amp; Regenerative Multiple (Mᵣ)</w:t>
      </w:r>
    </w:p>
    <w:p>
      <w:r>
        <w:t>The capstone calculation determining final company value at Round 10.</w:t>
      </w:r>
    </w:p>
    <w:p>
      <w:r>
        <w:rPr>
          <w:b/>
          <w:sz w:val="22"/>
        </w:rPr>
        <w:t xml:space="preserve">EBITDA 2050: </w:t>
      </w:r>
      <w:r>
        <w:rPr>
          <w:rFonts w:ascii="Cambria Math" w:hAnsi="Cambria Math"/>
          <w:i/>
          <w:color w:val="8B0000"/>
          <w:sz w:val="24"/>
        </w:rPr>
        <w:t>EBITDA = Σ(Revenueᵢ − OPEXᵢ) − (tCO₂e × Carbon_Tax)</w:t>
      </w:r>
    </w:p>
    <w:p>
      <w:r>
        <w:rPr>
          <w:b/>
          <w:sz w:val="22"/>
        </w:rPr>
        <w:t xml:space="preserve">Terminal Value: </w:t>
      </w:r>
      <w:r>
        <w:rPr>
          <w:rFonts w:ascii="Cambria Math" w:hAnsi="Cambria Math"/>
          <w:i/>
          <w:color w:val="8B0000"/>
          <w:sz w:val="24"/>
        </w:rPr>
        <w:t>TV = EBITDA × Exit_Multiple(12×) × Mᵣ</w:t>
      </w:r>
    </w:p>
    <w:p/>
    <w:p>
      <w:r>
        <w:t>Mᵣ (Regenerative Multiple)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Bonus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</w:tr>
      <w:tr>
        <w:tc>
          <w:tcPr>
            <w:tcW w:type="dxa" w:w="2880"/>
          </w:tcPr>
          <w:p>
            <w:r>
              <w:t>Materiality Governance</w:t>
            </w:r>
          </w:p>
        </w:tc>
        <w:tc>
          <w:tcPr>
            <w:tcW w:type="dxa" w:w="2880"/>
          </w:tcPr>
          <w:p>
            <w:r>
              <w:t>+0.10</w:t>
            </w:r>
          </w:p>
        </w:tc>
        <w:tc>
          <w:tcPr>
            <w:tcW w:type="dxa" w:w="2880"/>
          </w:tcPr>
          <w:p>
            <w:r>
              <w:t>materiality_aligned flag</w:t>
            </w:r>
          </w:p>
        </w:tc>
      </w:tr>
      <w:tr>
        <w:tc>
          <w:tcPr>
            <w:tcW w:type="dxa" w:w="2880"/>
          </w:tcPr>
          <w:p>
            <w:r>
              <w:t>Synergy Excellence</w:t>
            </w:r>
          </w:p>
        </w:tc>
        <w:tc>
          <w:tcPr>
            <w:tcW w:type="dxa" w:w="2880"/>
          </w:tcPr>
          <w:p>
            <w:r>
              <w:t>+0.30</w:t>
            </w:r>
          </w:p>
        </w:tc>
        <w:tc>
          <w:tcPr>
            <w:tcW w:type="dxa" w:w="2880"/>
          </w:tcPr>
          <w:p>
            <w:r>
              <w:t>synergy_unlock AND multiplier ≥ 0.80</w:t>
            </w:r>
          </w:p>
        </w:tc>
      </w:tr>
      <w:tr>
        <w:tc>
          <w:tcPr>
            <w:tcW w:type="dxa" w:w="2880"/>
          </w:tcPr>
          <w:p>
            <w:r>
              <w:t>Resilience Champion</w:t>
            </w:r>
          </w:p>
        </w:tc>
        <w:tc>
          <w:tcPr>
            <w:tcW w:type="dxa" w:w="2880"/>
          </w:tcPr>
          <w:p>
            <w:r>
              <w:t>+0.20</w:t>
            </w:r>
          </w:p>
        </w:tc>
        <w:tc>
          <w:tcPr>
            <w:tcW w:type="dxa" w:w="2880"/>
          </w:tcPr>
          <w:p>
            <w:r>
              <w:t>NOT insurance_only AND NOT water_priority</w:t>
            </w:r>
          </w:p>
        </w:tc>
      </w:tr>
      <w:tr>
        <w:tc>
          <w:tcPr>
            <w:tcW w:type="dxa" w:w="2880"/>
          </w:tcPr>
          <w:p>
            <w:r>
              <w:t>Truth Premium</w:t>
            </w:r>
          </w:p>
        </w:tc>
        <w:tc>
          <w:tcPr>
            <w:tcW w:type="dxa" w:w="2880"/>
          </w:tcPr>
          <w:p>
            <w:r>
              <w:t>+0.15</w:t>
            </w:r>
          </w:p>
        </w:tc>
        <w:tc>
          <w:tcPr>
            <w:tcW w:type="dxa" w:w="2880"/>
          </w:tcPr>
          <w:p>
            <w:r>
              <w:t>ethical_ai_overhaul flag</w:t>
            </w:r>
          </w:p>
        </w:tc>
      </w:tr>
      <w:tr>
        <w:tc>
          <w:tcPr>
            <w:tcW w:type="dxa" w:w="2880"/>
          </w:tcPr>
          <w:p>
            <w:r>
              <w:t>Community Champion</w:t>
            </w:r>
          </w:p>
        </w:tc>
        <w:tc>
          <w:tcPr>
            <w:tcW w:type="dxa" w:w="2880"/>
          </w:tcPr>
          <w:p>
            <w:r>
              <w:t>+0.18×JT</w:t>
            </w:r>
          </w:p>
        </w:tc>
        <w:tc>
          <w:tcPr>
            <w:tcW w:type="dxa" w:w="2880"/>
          </w:tcPr>
          <w:p>
            <w:r>
              <w:t>community_fund flag</w:t>
            </w:r>
          </w:p>
        </w:tc>
      </w:tr>
      <w:tr>
        <w:tc>
          <w:tcPr>
            <w:tcW w:type="dxa" w:w="2880"/>
          </w:tcPr>
          <w:p>
            <w:r>
              <w:t>Just Transition</w:t>
            </w:r>
          </w:p>
        </w:tc>
        <w:tc>
          <w:tcPr>
            <w:tcW w:type="dxa" w:w="2880"/>
          </w:tcPr>
          <w:p>
            <w:r>
              <w:t>+0.12×JT</w:t>
            </w:r>
          </w:p>
        </w:tc>
        <w:tc>
          <w:tcPr>
            <w:tcW w:type="dxa" w:w="2880"/>
          </w:tcPr>
          <w:p>
            <w:r>
              <w:t>managed_transition flag</w:t>
            </w:r>
          </w:p>
        </w:tc>
      </w:tr>
      <w:tr>
        <w:tc>
          <w:tcPr>
            <w:tcW w:type="dxa" w:w="2880"/>
          </w:tcPr>
          <w:p>
            <w:r>
              <w:t>Workforce Excellence</w:t>
            </w:r>
          </w:p>
        </w:tc>
        <w:tc>
          <w:tcPr>
            <w:tcW w:type="dxa" w:w="2880"/>
          </w:tcPr>
          <w:p>
            <w:r>
              <w:t>+0.10</w:t>
            </w:r>
          </w:p>
        </w:tc>
        <w:tc>
          <w:tcPr>
            <w:tcW w:type="dxa" w:w="2880"/>
          </w:tcPr>
          <w:p>
            <w:r>
              <w:t>Workforce Readiness ≥ 75</w:t>
            </w:r>
          </w:p>
        </w:tc>
      </w:tr>
      <w:tr>
        <w:tc>
          <w:tcPr>
            <w:tcW w:type="dxa" w:w="2880"/>
          </w:tcPr>
          <w:p>
            <w:r>
              <w:t>Wellbeing Champion</w:t>
            </w:r>
          </w:p>
        </w:tc>
        <w:tc>
          <w:tcPr>
            <w:tcW w:type="dxa" w:w="2880"/>
          </w:tcPr>
          <w:p>
            <w:r>
              <w:t>+0.05</w:t>
            </w:r>
          </w:p>
        </w:tc>
        <w:tc>
          <w:tcPr>
            <w:tcW w:type="dxa" w:w="2880"/>
          </w:tcPr>
          <w:p>
            <w:r>
              <w:t>Avg Burnout &lt; 20</w:t>
            </w:r>
          </w:p>
        </w:tc>
      </w:tr>
    </w:tbl>
    <w:p/>
    <w:p>
      <w:r>
        <w:rPr>
          <w:b/>
          <w:sz w:val="22"/>
        </w:rPr>
        <w:t xml:space="preserve">JT Scaling: </w:t>
      </w:r>
      <w:r>
        <w:rPr>
          <w:rFonts w:ascii="Cambria Math" w:hAnsi="Cambria Math"/>
          <w:i/>
          <w:color w:val="8B0000"/>
          <w:sz w:val="24"/>
        </w:rPr>
        <w:t>JT = min(1.5, 1.0 + HR_Rounds × 0.10)</w:t>
      </w:r>
    </w:p>
    <w:p>
      <w:r>
        <w:rPr>
          <w:b/>
          <w:sz w:val="22"/>
        </w:rPr>
        <w:t xml:space="preserve">Instability Discount: </w:t>
      </w:r>
      <w:r>
        <w:rPr>
          <w:rFonts w:ascii="Cambria Math" w:hAnsi="Cambria Math"/>
          <w:i/>
          <w:color w:val="8B0000"/>
          <w:sz w:val="24"/>
        </w:rPr>
        <w:t>If Avg_SLO &lt; 75: Mᵣ −= 0.40</w:t>
      </w:r>
    </w:p>
    <w:p>
      <w:pPr>
        <w:ind w:left="432"/>
      </w:pPr>
      <w:r>
        <w:t>Maximum achievable Mᵣ: 2.08</w:t>
      </w:r>
    </w:p>
    <w:p>
      <w:pPr>
        <w:pStyle w:val="Heading1"/>
      </w:pPr>
      <w:r>
        <w:rPr>
          <w:color w:val="1A3C6E"/>
        </w:rPr>
        <w:t>31. Archetype Determination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Archetype</w:t>
            </w:r>
          </w:p>
        </w:tc>
        <w:tc>
          <w:tcPr>
            <w:tcW w:type="dxa" w:w="2880"/>
          </w:tcPr>
          <w:p>
            <w:r>
              <w:t>Mᵣ Threshold</w:t>
            </w:r>
          </w:p>
        </w:tc>
        <w:tc>
          <w:tcPr>
            <w:tcW w:type="dxa" w:w="2880"/>
          </w:tcPr>
          <w:p>
            <w:r>
              <w:t>Icon</w:t>
            </w:r>
          </w:p>
        </w:tc>
      </w:tr>
      <w:tr>
        <w:tc>
          <w:tcPr>
            <w:tcW w:type="dxa" w:w="2880"/>
          </w:tcPr>
          <w:p>
            <w:r>
              <w:t>Regenerative Titan</w:t>
            </w:r>
          </w:p>
        </w:tc>
        <w:tc>
          <w:tcPr>
            <w:tcW w:type="dxa" w:w="2880"/>
          </w:tcPr>
          <w:p>
            <w:r>
              <w:t>≥ 1.80</w:t>
            </w:r>
          </w:p>
        </w:tc>
        <w:tc>
          <w:tcPr>
            <w:tcW w:type="dxa" w:w="2880"/>
          </w:tcPr>
          <w:p>
            <w:r>
              <w:t>🌱</w:t>
            </w:r>
          </w:p>
        </w:tc>
      </w:tr>
      <w:tr>
        <w:tc>
          <w:tcPr>
            <w:tcW w:type="dxa" w:w="2880"/>
          </w:tcPr>
          <w:p>
            <w:r>
              <w:t>De-risked Safe-Haven</w:t>
            </w:r>
          </w:p>
        </w:tc>
        <w:tc>
          <w:tcPr>
            <w:tcW w:type="dxa" w:w="2880"/>
          </w:tcPr>
          <w:p>
            <w:r>
              <w:t>≥ 1.20</w:t>
            </w:r>
          </w:p>
        </w:tc>
        <w:tc>
          <w:tcPr>
            <w:tcW w:type="dxa" w:w="2880"/>
          </w:tcPr>
          <w:p>
            <w:r>
              <w:t>🏦</w:t>
            </w:r>
          </w:p>
        </w:tc>
      </w:tr>
      <w:tr>
        <w:tc>
          <w:tcPr>
            <w:tcW w:type="dxa" w:w="2880"/>
          </w:tcPr>
          <w:p>
            <w:r>
              <w:t>Fragile Giant</w:t>
            </w:r>
          </w:p>
        </w:tc>
        <w:tc>
          <w:tcPr>
            <w:tcW w:type="dxa" w:w="2880"/>
          </w:tcPr>
          <w:p>
            <w:r>
              <w:t>≥ 0.80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</w:tr>
      <w:tr>
        <w:tc>
          <w:tcPr>
            <w:tcW w:type="dxa" w:w="2880"/>
          </w:tcPr>
          <w:p>
            <w:r>
              <w:t>Stranded Relic</w:t>
            </w:r>
          </w:p>
        </w:tc>
        <w:tc>
          <w:tcPr>
            <w:tcW w:type="dxa" w:w="2880"/>
          </w:tcPr>
          <w:p>
            <w:r>
              <w:t>&lt; 0.80</w:t>
            </w:r>
          </w:p>
        </w:tc>
        <w:tc>
          <w:tcPr>
            <w:tcW w:type="dxa" w:w="2880"/>
          </w:tcPr>
          <w:p>
            <w:r>
              <w:t>💀</w:t>
            </w:r>
          </w:p>
        </w:tc>
      </w:tr>
      <w:tr>
        <w:tc>
          <w:tcPr>
            <w:tcW w:type="dxa" w:w="2880"/>
          </w:tcPr>
          <w:p>
            <w:r>
              <w:t>Turnaround Manager</w:t>
            </w:r>
          </w:p>
        </w:tc>
        <w:tc>
          <w:tcPr>
            <w:tcW w:type="dxa" w:w="2880"/>
          </w:tcPr>
          <w:p>
            <w:r>
              <w:t>Survival mode</w:t>
            </w:r>
          </w:p>
        </w:tc>
        <w:tc>
          <w:tcPr>
            <w:tcW w:type="dxa" w:w="2880"/>
          </w:tcPr>
          <w:p>
            <w:r>
              <w:t>🔧</w:t>
            </w:r>
          </w:p>
        </w:tc>
      </w:tr>
    </w:tbl>
    <w:p>
      <w:pPr>
        <w:ind w:left="432"/>
      </w:pPr>
      <w:r>
        <w:t>Cross-pathway normalization: Mᵣ_normalized = Mᵣ_raw × Difficulty_Coefficient</w:t>
      </w:r>
    </w:p>
    <w:p>
      <w:pPr>
        <w:pStyle w:val="Heading1"/>
      </w:pPr>
      <w:r>
        <w:rPr>
          <w:color w:val="1A3C6E"/>
        </w:rPr>
        <w:t>32. CEO Interview Scoring</w:t>
      </w:r>
    </w:p>
    <w:p>
      <w:r>
        <w:t>Post-game competency assessment across 6 dimensions (0–10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</w:tr>
      <w:tr>
        <w:tc>
          <w:tcPr>
            <w:tcW w:type="dxa" w:w="2880"/>
          </w:tcPr>
          <w:p>
            <w:r>
              <w:t>Strategic Thinking</w:t>
            </w:r>
          </w:p>
        </w:tc>
        <w:tc>
          <w:tcPr>
            <w:tcW w:type="dxa" w:w="2880"/>
          </w:tcPr>
          <w:p>
            <w:r>
              <w:t>Mᵣ</w:t>
            </w:r>
          </w:p>
        </w:tc>
        <w:tc>
          <w:tcPr>
            <w:tcW w:type="dxa" w:w="2880"/>
          </w:tcPr>
          <w:p>
            <w:r>
              <w:t>min(10, max(1, (Mᵣ − 0.5) / 0.15))</w:t>
            </w:r>
          </w:p>
        </w:tc>
      </w:tr>
      <w:tr>
        <w:tc>
          <w:tcPr>
            <w:tcW w:type="dxa" w:w="2880"/>
          </w:tcPr>
          <w:p>
            <w:r>
              <w:t>Stakeholder Empathy</w:t>
            </w:r>
          </w:p>
        </w:tc>
        <w:tc>
          <w:tcPr>
            <w:tcW w:type="dxa" w:w="2880"/>
          </w:tcPr>
          <w:p>
            <w:r>
              <w:t>SLO + Burnout</w:t>
            </w:r>
          </w:p>
        </w:tc>
        <w:tc>
          <w:tcPr>
            <w:tcW w:type="dxa" w:w="2880"/>
          </w:tcPr>
          <w:p>
            <w:r>
              <w:t>SLO/10 + burnout_bonus</w:t>
            </w:r>
          </w:p>
        </w:tc>
      </w:tr>
      <w:tr>
        <w:tc>
          <w:tcPr>
            <w:tcW w:type="dxa" w:w="2880"/>
          </w:tcPr>
          <w:p>
            <w:r>
              <w:t>Financial Acumen</w:t>
            </w:r>
          </w:p>
        </w:tc>
        <w:tc>
          <w:tcPr>
            <w:tcW w:type="dxa" w:w="2880"/>
          </w:tcPr>
          <w:p>
            <w:r>
              <w:t>Treasury + EBITDA</w:t>
            </w:r>
          </w:p>
        </w:tc>
        <w:tc>
          <w:tcPr>
            <w:tcW w:type="dxa" w:w="2880"/>
          </w:tcPr>
          <w:p>
            <w:r>
              <w:t>Treasury/$5M + EBITDA/$10M</w:t>
            </w:r>
          </w:p>
        </w:tc>
      </w:tr>
      <w:tr>
        <w:tc>
          <w:tcPr>
            <w:tcW w:type="dxa" w:w="2880"/>
          </w:tcPr>
          <w:p>
            <w:r>
              <w:t>Ethical Reasoning</w:t>
            </w:r>
          </w:p>
        </w:tc>
        <w:tc>
          <w:tcPr>
            <w:tcW w:type="dxa" w:w="2880"/>
          </w:tcPr>
          <w:p>
            <w:r>
              <w:t>Flags</w:t>
            </w:r>
          </w:p>
        </w:tc>
        <w:tc>
          <w:tcPr>
            <w:tcW w:type="dxa" w:w="2880"/>
          </w:tcPr>
          <w:p>
            <w:r>
              <w:t>4.0 + flag_bonuses</w:t>
            </w:r>
          </w:p>
        </w:tc>
      </w:tr>
      <w:tr>
        <w:tc>
          <w:tcPr>
            <w:tcW w:type="dxa" w:w="2880"/>
          </w:tcPr>
          <w:p>
            <w:r>
              <w:t>Systems Thinking</w:t>
            </w:r>
          </w:p>
        </w:tc>
        <w:tc>
          <w:tcPr>
            <w:tcW w:type="dxa" w:w="2880"/>
          </w:tcPr>
          <w:p>
            <w:r>
              <w:t>Synergy + VRIO</w:t>
            </w:r>
          </w:p>
        </w:tc>
        <w:tc>
          <w:tcPr>
            <w:tcW w:type="dxa" w:w="2880"/>
          </w:tcPr>
          <w:p>
            <w:r>
              <w:t>(Syn−0.7)×10 + VRIO/20</w:t>
            </w:r>
          </w:p>
        </w:tc>
      </w:tr>
      <w:tr>
        <w:tc>
          <w:tcPr>
            <w:tcW w:type="dxa" w:w="2880"/>
          </w:tcPr>
          <w:p>
            <w:r>
              <w:t>Adaptive Leadership</w:t>
            </w:r>
          </w:p>
        </w:tc>
        <w:tc>
          <w:tcPr>
            <w:tcW w:type="dxa" w:w="2880"/>
          </w:tcPr>
          <w:p>
            <w:r>
              <w:t>WR + HR rounds</w:t>
            </w:r>
          </w:p>
        </w:tc>
        <w:tc>
          <w:tcPr>
            <w:tcW w:type="dxa" w:w="2880"/>
          </w:tcPr>
          <w:p>
            <w:r>
              <w:t>WR/15 + HR_rounds</w:t>
            </w:r>
          </w:p>
        </w:tc>
      </w:tr>
    </w:tbl>
    <w:p>
      <w:pPr>
        <w:pStyle w:val="Heading1"/>
      </w:pPr>
      <w:r>
        <w:rPr>
          <w:color w:val="1A3C6E"/>
        </w:rPr>
        <w:t>33. Score Blending Framework</w:t>
      </w:r>
    </w:p>
    <w:p>
      <w:r>
        <w:rPr>
          <w:b/>
          <w:sz w:val="22"/>
        </w:rPr>
        <w:t xml:space="preserve">Final Score: </w:t>
      </w:r>
      <w:r>
        <w:rPr>
          <w:rFonts w:ascii="Cambria Math" w:hAnsi="Cambria Math"/>
          <w:i/>
          <w:color w:val="8B0000"/>
          <w:sz w:val="24"/>
        </w:rPr>
        <w:t>S_final = S_data × 0.5 + S_interview × 0.5</w:t>
      </w:r>
    </w:p>
    <w:p>
      <w:pPr>
        <w:ind w:left="432"/>
      </w:pPr>
      <w:r>
        <w:t>50/50 blend of simulation-derived metrics and LLM-assessed interview responses.</w:t>
      </w:r>
    </w:p>
    <w:p>
      <w:pPr>
        <w:ind w:left="432"/>
      </w:pPr>
      <w:r>
        <w:t>Prevents 'gaming' the system through either pure metric optimisation or interview preparation alone.</w:t>
      </w:r>
    </w:p>
    <w:p>
      <w:r>
        <w:br w:type="page"/>
      </w:r>
    </w:p>
    <w:p>
      <w:pPr>
        <w:pStyle w:val="Heading1"/>
      </w:pPr>
      <w:r>
        <w:rPr>
          <w:color w:val="1A3C6E"/>
        </w:rPr>
        <w:t>Appendix A: Vulnerability Hardening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VULN-001</w:t>
            </w:r>
          </w:p>
        </w:tc>
        <w:tc>
          <w:tcPr>
            <w:tcW w:type="dxa" w:w="2880"/>
          </w:tcPr>
          <w:p>
            <w:r>
              <w:t>Dividends exceed treasury</w:t>
            </w:r>
          </w:p>
        </w:tc>
        <w:tc>
          <w:tcPr>
            <w:tcW w:type="dxa" w:w="2880"/>
          </w:tcPr>
          <w:p>
            <w:r>
              <w:t>Clamped to balance</w:t>
            </w:r>
          </w:p>
        </w:tc>
      </w:tr>
      <w:tr>
        <w:tc>
          <w:tcPr>
            <w:tcW w:type="dxa" w:w="2880"/>
          </w:tcPr>
          <w:p>
            <w:r>
              <w:t>VULN-002</w:t>
            </w:r>
          </w:p>
        </w:tc>
        <w:tc>
          <w:tcPr>
            <w:tcW w:type="dxa" w:w="2880"/>
          </w:tcPr>
          <w:p>
            <w:r>
              <w:t>Investment ratio &gt; 1.0</w:t>
            </w:r>
          </w:p>
        </w:tc>
        <w:tc>
          <w:tcPr>
            <w:tcW w:type="dxa" w:w="2880"/>
          </w:tcPr>
          <w:p>
            <w:r>
              <w:t>Hard cap at 1.0</w:t>
            </w:r>
          </w:p>
        </w:tc>
      </w:tr>
      <w:tr>
        <w:tc>
          <w:tcPr>
            <w:tcW w:type="dxa" w:w="2880"/>
          </w:tcPr>
          <w:p>
            <w:r>
              <w:t>VULN-003</w:t>
            </w:r>
          </w:p>
        </w:tc>
        <w:tc>
          <w:tcPr>
            <w:tcW w:type="dxa" w:w="2880"/>
          </w:tcPr>
          <w:p>
            <w:r>
              <w:t>Negative crisis severity</w:t>
            </w:r>
          </w:p>
        </w:tc>
        <w:tc>
          <w:tcPr>
            <w:tcW w:type="dxa" w:w="2880"/>
          </w:tcPr>
          <w:p>
            <w:r>
              <w:t>Floored at 0</w:t>
            </w:r>
          </w:p>
        </w:tc>
      </w:tr>
      <w:tr>
        <w:tc>
          <w:tcPr>
            <w:tcW w:type="dxa" w:w="2880"/>
          </w:tcPr>
          <w:p>
            <w:r>
              <w:t>VULN-004</w:t>
            </w:r>
          </w:p>
        </w:tc>
        <w:tc>
          <w:tcPr>
            <w:tcW w:type="dxa" w:w="2880"/>
          </w:tcPr>
          <w:p>
            <w:r>
              <w:t>Negative NCD</w:t>
            </w:r>
          </w:p>
        </w:tc>
        <w:tc>
          <w:tcPr>
            <w:tcW w:type="dxa" w:w="2880"/>
          </w:tcPr>
          <w:p>
            <w:r>
              <w:t>Floored at 0</w:t>
            </w:r>
          </w:p>
        </w:tc>
      </w:tr>
      <w:tr>
        <w:tc>
          <w:tcPr>
            <w:tcW w:type="dxa" w:w="2880"/>
          </w:tcPr>
          <w:p>
            <w:r>
              <w:t>VULN-006</w:t>
            </w:r>
          </w:p>
        </w:tc>
        <w:tc>
          <w:tcPr>
            <w:tcW w:type="dxa" w:w="2880"/>
          </w:tcPr>
          <w:p>
            <w:r>
              <w:t>CAPEX &gt; 2× treasury</w:t>
            </w:r>
          </w:p>
        </w:tc>
        <w:tc>
          <w:tcPr>
            <w:tcW w:type="dxa" w:w="2880"/>
          </w:tcPr>
          <w:p>
            <w:r>
              <w:t>Hard cap applied</w:t>
            </w:r>
          </w:p>
        </w:tc>
      </w:tr>
      <w:tr>
        <w:tc>
          <w:tcPr>
            <w:tcW w:type="dxa" w:w="2880"/>
          </w:tcPr>
          <w:p>
            <w:r>
              <w:t>VULN-007</w:t>
            </w:r>
          </w:p>
        </w:tc>
        <w:tc>
          <w:tcPr>
            <w:tcW w:type="dxa" w:w="2880"/>
          </w:tcPr>
          <w:p>
            <w:r>
              <w:t>NCD overflow</w:t>
            </w:r>
          </w:p>
        </w:tc>
        <w:tc>
          <w:tcPr>
            <w:tcW w:type="dxa" w:w="2880"/>
          </w:tcPr>
          <w:p>
            <w:r>
              <w:t>Capped at 1,000,000</w:t>
            </w:r>
          </w:p>
        </w:tc>
      </w:tr>
      <w:tr>
        <w:tc>
          <w:tcPr>
            <w:tcW w:type="dxa" w:w="2880"/>
          </w:tcPr>
          <w:p>
            <w:r>
              <w:t>HARD-002</w:t>
            </w:r>
          </w:p>
        </w:tc>
        <w:tc>
          <w:tcPr>
            <w:tcW w:type="dxa" w:w="2880"/>
          </w:tcPr>
          <w:p>
            <w:r>
              <w:t>Strike penalty too low</w:t>
            </w:r>
          </w:p>
        </w:tc>
        <w:tc>
          <w:tcPr>
            <w:tcW w:type="dxa" w:w="2880"/>
          </w:tcPr>
          <w:p>
            <w:r>
              <w:t>Minimum 5% of treasury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